
<file path=[Content_Types].xml><?xml version="1.0" encoding="utf-8"?>
<Types xmlns="http://schemas.openxmlformats.org/package/2006/content-types">
  <Default ContentType="image/jpeg" Extension="jpg"/>
  <Default ContentType="image/gif" Extension="gi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680"/>
          <w:tab w:val="right" w:leader="none" w:pos="9360"/>
        </w:tabs>
        <w:spacing w:line="240" w:lineRule="auto"/>
        <w:jc w:val="center"/>
        <w:rPr>
          <w:rFonts w:ascii="Calibri" w:cs="Calibri" w:eastAsia="Calibri" w:hAnsi="Calibri"/>
        </w:rPr>
      </w:pPr>
      <w:r w:rsidDel="00000000" w:rsidR="00000000" w:rsidRPr="00000000">
        <w:rPr>
          <w:b w:val="1"/>
          <w:sz w:val="36"/>
          <w:szCs w:val="36"/>
        </w:rPr>
        <w:drawing>
          <wp:inline distB="114300" distT="114300" distL="114300" distR="114300">
            <wp:extent cx="1604963" cy="693602"/>
            <wp:effectExtent b="0" l="0" r="0" t="0"/>
            <wp:docPr descr="A blue and red logo&#10;&#10;Description automatically generated" id="2" name="image9.png"/>
            <a:graphic>
              <a:graphicData uri="http://schemas.openxmlformats.org/drawingml/2006/picture">
                <pic:pic>
                  <pic:nvPicPr>
                    <pic:cNvPr descr="A blue and red logo&#10;&#10;Description automatically generated" id="0" name="image9.png"/>
                    <pic:cNvPicPr preferRelativeResize="0"/>
                  </pic:nvPicPr>
                  <pic:blipFill>
                    <a:blip r:embed="rId6"/>
                    <a:srcRect b="0" l="0" r="0" t="0"/>
                    <a:stretch>
                      <a:fillRect/>
                    </a:stretch>
                  </pic:blipFill>
                  <pic:spPr>
                    <a:xfrm>
                      <a:off x="0" y="0"/>
                      <a:ext cx="1604963" cy="693602"/>
                    </a:xfrm>
                    <a:prstGeom prst="rect"/>
                    <a:ln/>
                  </pic:spPr>
                </pic:pic>
              </a:graphicData>
            </a:graphic>
          </wp:inline>
        </w:drawing>
      </w:r>
      <w:r w:rsidDel="00000000" w:rsidR="00000000" w:rsidRPr="00000000">
        <w:rPr>
          <w:rFonts w:ascii="Calibri" w:cs="Calibri" w:eastAsia="Calibri" w:hAnsi="Calibri"/>
        </w:rPr>
        <w:drawing>
          <wp:inline distB="114300" distT="114300" distL="114300" distR="114300">
            <wp:extent cx="1909763" cy="480875"/>
            <wp:effectExtent b="0" l="0" r="0" t="0"/>
            <wp:docPr id="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909763" cy="480875"/>
                    </a:xfrm>
                    <a:prstGeom prst="rect"/>
                    <a:ln/>
                  </pic:spPr>
                </pic:pic>
              </a:graphicData>
            </a:graphic>
          </wp:inline>
        </w:drawing>
      </w:r>
      <w:r w:rsidDel="00000000" w:rsidR="00000000" w:rsidRPr="00000000">
        <w:rPr>
          <w:rFonts w:ascii="Source Sans Pro" w:cs="Source Sans Pro" w:eastAsia="Source Sans Pro" w:hAnsi="Source Sans Pro"/>
          <w:sz w:val="24"/>
          <w:szCs w:val="24"/>
        </w:rPr>
        <w:drawing>
          <wp:inline distB="114300" distT="114300" distL="114300" distR="114300">
            <wp:extent cx="1352550" cy="930275"/>
            <wp:effectExtent b="0" l="0" r="0" t="0"/>
            <wp:docPr id="6" name="image1.png"/>
            <a:graphic>
              <a:graphicData uri="http://schemas.openxmlformats.org/drawingml/2006/picture">
                <pic:pic>
                  <pic:nvPicPr>
                    <pic:cNvPr id="0" name="image1.png"/>
                    <pic:cNvPicPr preferRelativeResize="0"/>
                  </pic:nvPicPr>
                  <pic:blipFill>
                    <a:blip r:embed="rId8"/>
                    <a:srcRect b="17647" l="0" r="0" t="13237"/>
                    <a:stretch>
                      <a:fillRect/>
                    </a:stretch>
                  </pic:blipFill>
                  <pic:spPr>
                    <a:xfrm>
                      <a:off x="0" y="0"/>
                      <a:ext cx="1352550" cy="930275"/>
                    </a:xfrm>
                    <a:prstGeom prst="rect"/>
                    <a:ln/>
                  </pic:spPr>
                </pic:pic>
              </a:graphicData>
            </a:graphic>
          </wp:inline>
        </w:drawing>
      </w:r>
      <w:r w:rsidDel="00000000" w:rsidR="00000000" w:rsidRPr="00000000">
        <w:rPr>
          <w:b w:val="1"/>
          <w:sz w:val="36"/>
          <w:szCs w:val="36"/>
        </w:rPr>
        <w:drawing>
          <wp:inline distB="114300" distT="114300" distL="114300" distR="114300">
            <wp:extent cx="1262063" cy="1262063"/>
            <wp:effectExtent b="0" l="0" r="0" t="0"/>
            <wp:docPr id="4"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1262063" cy="1262063"/>
                    </a:xfrm>
                    <a:prstGeom prst="rect"/>
                    <a:ln/>
                  </pic:spPr>
                </pic:pic>
              </a:graphicData>
            </a:graphic>
          </wp:inline>
        </w:drawing>
      </w:r>
      <w:r w:rsidDel="00000000" w:rsidR="00000000" w:rsidRPr="00000000">
        <w:rPr>
          <w:rFonts w:ascii="Source Sans Pro" w:cs="Source Sans Pro" w:eastAsia="Source Sans Pro" w:hAnsi="Source Sans Pro"/>
          <w:sz w:val="24"/>
          <w:szCs w:val="24"/>
          <w:rtl w:val="0"/>
        </w:rPr>
        <w:t xml:space="preserve">     </w:t>
      </w:r>
      <w:r w:rsidDel="00000000" w:rsidR="00000000" w:rsidRPr="00000000">
        <w:rPr>
          <w:rFonts w:ascii="Calibri" w:cs="Calibri" w:eastAsia="Calibri" w:hAnsi="Calibri"/>
        </w:rPr>
        <w:drawing>
          <wp:inline distB="114300" distT="114300" distL="114300" distR="114300">
            <wp:extent cx="1533525" cy="918029"/>
            <wp:effectExtent b="0" l="0" r="0" t="0"/>
            <wp:docPr id="8" name="image6.png"/>
            <a:graphic>
              <a:graphicData uri="http://schemas.openxmlformats.org/drawingml/2006/picture">
                <pic:pic>
                  <pic:nvPicPr>
                    <pic:cNvPr id="0" name="image6.png"/>
                    <pic:cNvPicPr preferRelativeResize="0"/>
                  </pic:nvPicPr>
                  <pic:blipFill>
                    <a:blip r:embed="rId10"/>
                    <a:srcRect b="21576" l="22857" r="25714" t="22131"/>
                    <a:stretch>
                      <a:fillRect/>
                    </a:stretch>
                  </pic:blipFill>
                  <pic:spPr>
                    <a:xfrm>
                      <a:off x="0" y="0"/>
                      <a:ext cx="1533525" cy="918029"/>
                    </a:xfrm>
                    <a:prstGeom prst="rect"/>
                    <a:ln/>
                  </pic:spPr>
                </pic:pic>
              </a:graphicData>
            </a:graphic>
          </wp:inline>
        </w:drawing>
      </w:r>
      <w:r w:rsidDel="00000000" w:rsidR="00000000" w:rsidRPr="00000000">
        <w:rPr>
          <w:rFonts w:ascii="Calibri" w:cs="Calibri" w:eastAsia="Calibri" w:hAnsi="Calibri"/>
        </w:rPr>
        <w:drawing>
          <wp:inline distB="0" distT="0" distL="0" distR="0">
            <wp:extent cx="2014538" cy="519211"/>
            <wp:effectExtent b="0" l="0" r="0" t="0"/>
            <wp:docPr id="1"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2014538" cy="519211"/>
                    </a:xfrm>
                    <a:prstGeom prst="rect"/>
                    <a:ln/>
                  </pic:spPr>
                </pic:pic>
              </a:graphicData>
            </a:graphic>
          </wp:inline>
        </w:drawing>
      </w:r>
      <w:r w:rsidDel="00000000" w:rsidR="00000000" w:rsidRPr="00000000">
        <w:rPr>
          <w:rFonts w:ascii="Calibri" w:cs="Calibri" w:eastAsia="Calibri" w:hAnsi="Calibri"/>
        </w:rPr>
        <w:drawing>
          <wp:inline distB="114300" distT="114300" distL="114300" distR="114300">
            <wp:extent cx="2533650" cy="510376"/>
            <wp:effectExtent b="0" l="0" r="0" t="0"/>
            <wp:docPr id="3" name="image7.jpg"/>
            <a:graphic>
              <a:graphicData uri="http://schemas.openxmlformats.org/drawingml/2006/picture">
                <pic:pic>
                  <pic:nvPicPr>
                    <pic:cNvPr id="0" name="image7.jpg"/>
                    <pic:cNvPicPr preferRelativeResize="0"/>
                  </pic:nvPicPr>
                  <pic:blipFill>
                    <a:blip r:embed="rId12"/>
                    <a:srcRect b="8955" l="0" r="0" t="7462"/>
                    <a:stretch>
                      <a:fillRect/>
                    </a:stretch>
                  </pic:blipFill>
                  <pic:spPr>
                    <a:xfrm>
                      <a:off x="0" y="0"/>
                      <a:ext cx="2533650" cy="510376"/>
                    </a:xfrm>
                    <a:prstGeom prst="rect"/>
                    <a:ln/>
                  </pic:spPr>
                </pic:pic>
              </a:graphicData>
            </a:graphic>
          </wp:inline>
        </w:drawing>
      </w:r>
      <w:r w:rsidDel="00000000" w:rsidR="00000000" w:rsidRPr="00000000">
        <w:rPr>
          <w:rFonts w:ascii="Calibri" w:cs="Calibri" w:eastAsia="Calibri" w:hAnsi="Calibri"/>
        </w:rPr>
        <w:drawing>
          <wp:inline distB="114300" distT="114300" distL="114300" distR="114300">
            <wp:extent cx="2454483" cy="835794"/>
            <wp:effectExtent b="0" l="0" r="0" t="0"/>
            <wp:docPr id="9" name="image8.gif"/>
            <a:graphic>
              <a:graphicData uri="http://schemas.openxmlformats.org/drawingml/2006/picture">
                <pic:pic>
                  <pic:nvPicPr>
                    <pic:cNvPr id="0" name="image8.gif"/>
                    <pic:cNvPicPr preferRelativeResize="0"/>
                  </pic:nvPicPr>
                  <pic:blipFill>
                    <a:blip r:embed="rId13"/>
                    <a:srcRect b="0" l="0" r="0" t="0"/>
                    <a:stretch>
                      <a:fillRect/>
                    </a:stretch>
                  </pic:blipFill>
                  <pic:spPr>
                    <a:xfrm>
                      <a:off x="0" y="0"/>
                      <a:ext cx="2454483" cy="835794"/>
                    </a:xfrm>
                    <a:prstGeom prst="rect"/>
                    <a:ln/>
                  </pic:spPr>
                </pic:pic>
              </a:graphicData>
            </a:graphic>
          </wp:inline>
        </w:drawing>
      </w:r>
      <w:r w:rsidDel="00000000" w:rsidR="00000000" w:rsidRPr="00000000">
        <w:rPr>
          <w:rFonts w:ascii="Calibri" w:cs="Calibri" w:eastAsia="Calibri" w:hAnsi="Calibri"/>
        </w:rPr>
        <w:drawing>
          <wp:inline distB="114300" distT="114300" distL="114300" distR="114300">
            <wp:extent cx="2047875" cy="1010866"/>
            <wp:effectExtent b="0" l="0" r="0" t="0"/>
            <wp:docPr id="5"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2047875" cy="101086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center" w:leader="none" w:pos="4680"/>
          <w:tab w:val="right" w:leader="none" w:pos="9360"/>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ind w:left="0" w:firstLine="0"/>
        <w:rPr/>
      </w:pPr>
      <w:r w:rsidDel="00000000" w:rsidR="00000000" w:rsidRPr="00000000">
        <w:rPr>
          <w:rtl w:val="0"/>
        </w:rPr>
        <w:t xml:space="preserve">Companies increasingly use AI-driven decision systems to make crucial decisions that alter the course of our lives and careers, often without our knowledge, despite ample evidence that many such systems are </w:t>
      </w:r>
      <w:hyperlink r:id="rId15">
        <w:r w:rsidDel="00000000" w:rsidR="00000000" w:rsidRPr="00000000">
          <w:rPr>
            <w:color w:val="1155cc"/>
            <w:u w:val="single"/>
            <w:rtl w:val="0"/>
          </w:rPr>
          <w:t xml:space="preserve">deeply biased</w:t>
        </w:r>
      </w:hyperlink>
      <w:r w:rsidDel="00000000" w:rsidR="00000000" w:rsidRPr="00000000">
        <w:rPr>
          <w:rtl w:val="0"/>
        </w:rPr>
        <w:t xml:space="preserve"> </w:t>
      </w:r>
      <w:r w:rsidDel="00000000" w:rsidR="00000000" w:rsidRPr="00000000">
        <w:rPr>
          <w:rtl w:val="0"/>
        </w:rPr>
        <w:t xml:space="preserve">and </w:t>
      </w:r>
      <w:hyperlink r:id="rId16">
        <w:r w:rsidDel="00000000" w:rsidR="00000000" w:rsidRPr="00000000">
          <w:rPr>
            <w:color w:val="1155cc"/>
            <w:u w:val="single"/>
            <w:rtl w:val="0"/>
          </w:rPr>
          <w:t xml:space="preserve">flawed</w:t>
        </w:r>
      </w:hyperlink>
      <w:r w:rsidDel="00000000" w:rsidR="00000000" w:rsidRPr="00000000">
        <w:rPr>
          <w:rtl w:val="0"/>
        </w:rPr>
        <w:t xml:space="preserve">.</w:t>
      </w:r>
      <w:r w:rsidDel="00000000" w:rsidR="00000000" w:rsidRPr="00000000">
        <w:rPr>
          <w:rtl w:val="0"/>
        </w:rPr>
        <w:t xml:space="preserve"> SB 2 would represent a welcome step toward much-needed transparency and accountability for such systems.</w:t>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ind w:left="0" w:firstLine="0"/>
        <w:rPr/>
      </w:pPr>
      <w:r w:rsidDel="00000000" w:rsidR="00000000" w:rsidRPr="00000000">
        <w:rPr>
          <w:rtl w:val="0"/>
        </w:rPr>
        <w:t xml:space="preserve">However, more is needed to protect Connecticut’s consumers and workers. Policymakers should ensure that the law builds on—and does not undermine—existing civil rights, labor, and consumer protections under Connecticut law.</w:t>
      </w:r>
    </w:p>
    <w:p w:rsidR="00000000" w:rsidDel="00000000" w:rsidP="00000000" w:rsidRDefault="00000000" w:rsidRPr="00000000" w14:paraId="00000006">
      <w:pPr>
        <w:ind w:left="0" w:firstLine="0"/>
        <w:rPr/>
      </w:pPr>
      <w:r w:rsidDel="00000000" w:rsidR="00000000" w:rsidRPr="00000000">
        <w:rPr>
          <w:rtl w:val="0"/>
        </w:rPr>
      </w:r>
    </w:p>
    <w:p w:rsidR="00000000" w:rsidDel="00000000" w:rsidP="00000000" w:rsidRDefault="00000000" w:rsidRPr="00000000" w14:paraId="00000007">
      <w:pPr>
        <w:ind w:left="0" w:firstLine="0"/>
        <w:rPr>
          <w:b w:val="1"/>
        </w:rPr>
      </w:pPr>
      <w:r w:rsidDel="00000000" w:rsidR="00000000" w:rsidRPr="00000000">
        <w:rPr>
          <w:rtl w:val="0"/>
        </w:rPr>
        <w:t xml:space="preserve">Policymakers should retain the bill’s strongest existing provisions, including:</w:t>
      </w:r>
      <w:r w:rsidDel="00000000" w:rsidR="00000000" w:rsidRPr="00000000">
        <w:rPr>
          <w:rtl w:val="0"/>
        </w:rPr>
      </w:r>
    </w:p>
    <w:p w:rsidR="00000000" w:rsidDel="00000000" w:rsidP="00000000" w:rsidRDefault="00000000" w:rsidRPr="00000000" w14:paraId="00000008">
      <w:pPr>
        <w:numPr>
          <w:ilvl w:val="0"/>
          <w:numId w:val="2"/>
        </w:numPr>
        <w:ind w:left="648" w:hanging="360"/>
        <w:rPr>
          <w:b w:val="1"/>
        </w:rPr>
      </w:pPr>
      <w:r w:rsidDel="00000000" w:rsidR="00000000" w:rsidRPr="00000000">
        <w:rPr>
          <w:b w:val="1"/>
          <w:rtl w:val="0"/>
        </w:rPr>
        <w:t xml:space="preserve">Notice</w:t>
      </w:r>
      <w:r w:rsidDel="00000000" w:rsidR="00000000" w:rsidRPr="00000000">
        <w:rPr>
          <w:rtl w:val="0"/>
        </w:rPr>
        <w:t xml:space="preserve"> to consumers subjected to AI-driven decisions about the use and purpose of the system;</w:t>
      </w:r>
    </w:p>
    <w:p w:rsidR="00000000" w:rsidDel="00000000" w:rsidP="00000000" w:rsidRDefault="00000000" w:rsidRPr="00000000" w14:paraId="00000009">
      <w:pPr>
        <w:numPr>
          <w:ilvl w:val="0"/>
          <w:numId w:val="2"/>
        </w:numPr>
        <w:ind w:left="648" w:hanging="360"/>
      </w:pPr>
      <w:r w:rsidDel="00000000" w:rsidR="00000000" w:rsidRPr="00000000">
        <w:rPr>
          <w:b w:val="1"/>
          <w:rtl w:val="0"/>
        </w:rPr>
        <w:t xml:space="preserve">Impact assessments</w:t>
      </w:r>
      <w:r w:rsidDel="00000000" w:rsidR="00000000" w:rsidRPr="00000000">
        <w:rPr>
          <w:rtl w:val="0"/>
        </w:rPr>
        <w:t xml:space="preserve"> that test AI decision systems for discrimination risks and document the AI decision system’s purpose, intended uses, data used and produced, performance, and post-deployment monitoring;</w:t>
      </w:r>
    </w:p>
    <w:p w:rsidR="00000000" w:rsidDel="00000000" w:rsidP="00000000" w:rsidRDefault="00000000" w:rsidRPr="00000000" w14:paraId="0000000A">
      <w:pPr>
        <w:numPr>
          <w:ilvl w:val="0"/>
          <w:numId w:val="2"/>
        </w:numPr>
        <w:ind w:left="648" w:hanging="360"/>
      </w:pPr>
      <w:r w:rsidDel="00000000" w:rsidR="00000000" w:rsidRPr="00000000">
        <w:rPr>
          <w:b w:val="1"/>
          <w:rtl w:val="0"/>
        </w:rPr>
        <w:t xml:space="preserve">Detailed documentation requirements</w:t>
      </w:r>
      <w:r w:rsidDel="00000000" w:rsidR="00000000" w:rsidRPr="00000000">
        <w:rPr>
          <w:rtl w:val="0"/>
        </w:rPr>
        <w:t xml:space="preserve"> for the developers and deployers of AI decision systems and general-purpose AI systems, including documentation on the selection, curation, and evaluation of data used during model development;</w:t>
      </w:r>
    </w:p>
    <w:p w:rsidR="00000000" w:rsidDel="00000000" w:rsidP="00000000" w:rsidRDefault="00000000" w:rsidRPr="00000000" w14:paraId="0000000B">
      <w:pPr>
        <w:numPr>
          <w:ilvl w:val="0"/>
          <w:numId w:val="2"/>
        </w:numPr>
        <w:ind w:left="648" w:hanging="360"/>
        <w:rPr>
          <w:u w:val="none"/>
        </w:rPr>
      </w:pPr>
      <w:r w:rsidDel="00000000" w:rsidR="00000000" w:rsidRPr="00000000">
        <w:rPr>
          <w:rtl w:val="0"/>
        </w:rPr>
        <w:t xml:space="preserve">A </w:t>
      </w:r>
      <w:r w:rsidDel="00000000" w:rsidR="00000000" w:rsidRPr="00000000">
        <w:rPr>
          <w:b w:val="1"/>
          <w:rtl w:val="0"/>
        </w:rPr>
        <w:t xml:space="preserve">right to an explanation</w:t>
      </w:r>
      <w:r w:rsidDel="00000000" w:rsidR="00000000" w:rsidRPr="00000000">
        <w:rPr>
          <w:rtl w:val="0"/>
        </w:rPr>
        <w:t xml:space="preserve"> of the principal reasons behind AI-driven decisions; and</w:t>
      </w:r>
    </w:p>
    <w:p w:rsidR="00000000" w:rsidDel="00000000" w:rsidP="00000000" w:rsidRDefault="00000000" w:rsidRPr="00000000" w14:paraId="0000000C">
      <w:pPr>
        <w:numPr>
          <w:ilvl w:val="0"/>
          <w:numId w:val="2"/>
        </w:numPr>
        <w:ind w:left="648" w:hanging="360"/>
        <w:rPr>
          <w:u w:val="none"/>
        </w:rPr>
      </w:pPr>
      <w:r w:rsidDel="00000000" w:rsidR="00000000" w:rsidRPr="00000000">
        <w:rPr>
          <w:rtl w:val="0"/>
        </w:rPr>
        <w:t xml:space="preserve">A </w:t>
      </w:r>
      <w:r w:rsidDel="00000000" w:rsidR="00000000" w:rsidRPr="00000000">
        <w:rPr>
          <w:b w:val="1"/>
          <w:rtl w:val="0"/>
        </w:rPr>
        <w:t xml:space="preserve">right to appeal</w:t>
      </w:r>
      <w:r w:rsidDel="00000000" w:rsidR="00000000" w:rsidRPr="00000000">
        <w:rPr>
          <w:rtl w:val="0"/>
        </w:rPr>
        <w:t xml:space="preserve"> adverse decisions to a human decision-maker.</w:t>
      </w: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rtl w:val="0"/>
        </w:rPr>
      </w:r>
    </w:p>
    <w:p w:rsidR="00000000" w:rsidDel="00000000" w:rsidP="00000000" w:rsidRDefault="00000000" w:rsidRPr="00000000" w14:paraId="0000000E">
      <w:pPr>
        <w:ind w:left="0" w:firstLine="0"/>
        <w:rPr/>
      </w:pPr>
      <w:r w:rsidDel="00000000" w:rsidR="00000000" w:rsidRPr="00000000">
        <w:rPr>
          <w:rtl w:val="0"/>
        </w:rPr>
        <w:t xml:space="preserve">Policymakers should also strengthen the law and further protect Connecticut workers and consumers by:</w:t>
      </w:r>
      <w:r w:rsidDel="00000000" w:rsidR="00000000" w:rsidRPr="00000000">
        <w:rPr>
          <w:rtl w:val="0"/>
        </w:rPr>
      </w:r>
    </w:p>
    <w:p w:rsidR="00000000" w:rsidDel="00000000" w:rsidP="00000000" w:rsidRDefault="00000000" w:rsidRPr="00000000" w14:paraId="0000000F">
      <w:pPr>
        <w:numPr>
          <w:ilvl w:val="0"/>
          <w:numId w:val="1"/>
        </w:numPr>
        <w:ind w:left="648" w:hanging="360"/>
        <w:rPr>
          <w:u w:val="none"/>
        </w:rPr>
      </w:pPr>
      <w:r w:rsidDel="00000000" w:rsidR="00000000" w:rsidRPr="00000000">
        <w:rPr>
          <w:b w:val="1"/>
          <w:rtl w:val="0"/>
        </w:rPr>
        <w:t xml:space="preserve">Clarifying</w:t>
      </w:r>
      <w:r w:rsidDel="00000000" w:rsidR="00000000" w:rsidRPr="00000000">
        <w:rPr>
          <w:rtl w:val="0"/>
        </w:rPr>
        <w:t xml:space="preserve"> that “consumer” includes Connecticut-based workers;</w:t>
      </w:r>
    </w:p>
    <w:p w:rsidR="00000000" w:rsidDel="00000000" w:rsidP="00000000" w:rsidRDefault="00000000" w:rsidRPr="00000000" w14:paraId="00000010">
      <w:pPr>
        <w:numPr>
          <w:ilvl w:val="0"/>
          <w:numId w:val="1"/>
        </w:numPr>
        <w:ind w:left="648" w:hanging="360"/>
        <w:rPr>
          <w:u w:val="none"/>
        </w:rPr>
      </w:pPr>
      <w:r w:rsidDel="00000000" w:rsidR="00000000" w:rsidRPr="00000000">
        <w:rPr>
          <w:b w:val="1"/>
          <w:rtl w:val="0"/>
        </w:rPr>
        <w:t xml:space="preserve">Broadening the definition of covered systems</w:t>
      </w:r>
      <w:r w:rsidDel="00000000" w:rsidR="00000000" w:rsidRPr="00000000">
        <w:rPr>
          <w:rtl w:val="0"/>
        </w:rPr>
        <w:t xml:space="preserve"> so that companies cannot evade the law’s requirements by assigning a human to rubber-stamp algorithmic decisions;</w:t>
      </w:r>
    </w:p>
    <w:p w:rsidR="00000000" w:rsidDel="00000000" w:rsidP="00000000" w:rsidRDefault="00000000" w:rsidRPr="00000000" w14:paraId="00000011">
      <w:pPr>
        <w:numPr>
          <w:ilvl w:val="0"/>
          <w:numId w:val="1"/>
        </w:numPr>
        <w:ind w:left="648" w:hanging="360"/>
        <w:rPr>
          <w:u w:val="none"/>
        </w:rPr>
      </w:pPr>
      <w:r w:rsidDel="00000000" w:rsidR="00000000" w:rsidRPr="00000000">
        <w:rPr>
          <w:b w:val="1"/>
          <w:rtl w:val="0"/>
        </w:rPr>
        <w:t xml:space="preserve">Building on existing civil rights protections</w:t>
      </w:r>
      <w:r w:rsidDel="00000000" w:rsidR="00000000" w:rsidRPr="00000000">
        <w:rPr>
          <w:rtl w:val="0"/>
        </w:rPr>
        <w:t xml:space="preserve"> by prohibiting the sale or use of discriminatory AI decision systems;</w:t>
      </w:r>
    </w:p>
    <w:p w:rsidR="00000000" w:rsidDel="00000000" w:rsidP="00000000" w:rsidRDefault="00000000" w:rsidRPr="00000000" w14:paraId="00000012">
      <w:pPr>
        <w:numPr>
          <w:ilvl w:val="0"/>
          <w:numId w:val="1"/>
        </w:numPr>
        <w:ind w:left="648" w:hanging="360"/>
        <w:rPr>
          <w:u w:val="none"/>
        </w:rPr>
      </w:pPr>
      <w:r w:rsidDel="00000000" w:rsidR="00000000" w:rsidRPr="00000000">
        <w:rPr>
          <w:b w:val="1"/>
          <w:rtl w:val="0"/>
        </w:rPr>
        <w:t xml:space="preserve">Expanding the law’s transparency provisions</w:t>
      </w:r>
      <w:r w:rsidDel="00000000" w:rsidR="00000000" w:rsidRPr="00000000">
        <w:rPr>
          <w:rtl w:val="0"/>
        </w:rPr>
        <w:t xml:space="preserve"> so that consumers understand why companies are using AI decision systems and what and how these tools measure, including requiring explanations to be </w:t>
      </w:r>
      <w:hyperlink r:id="rId17">
        <w:r w:rsidDel="00000000" w:rsidR="00000000" w:rsidRPr="00000000">
          <w:rPr>
            <w:color w:val="1155cc"/>
            <w:u w:val="single"/>
            <w:rtl w:val="0"/>
          </w:rPr>
          <w:t xml:space="preserve">actionable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3">
      <w:pPr>
        <w:numPr>
          <w:ilvl w:val="0"/>
          <w:numId w:val="1"/>
        </w:numPr>
        <w:ind w:left="648" w:hanging="360"/>
        <w:rPr>
          <w:u w:val="none"/>
        </w:rPr>
      </w:pPr>
      <w:r w:rsidDel="00000000" w:rsidR="00000000" w:rsidRPr="00000000">
        <w:rPr>
          <w:b w:val="1"/>
          <w:rtl w:val="0"/>
        </w:rPr>
        <w:t xml:space="preserve">Strengthening impact assessment provisions</w:t>
      </w:r>
      <w:r w:rsidDel="00000000" w:rsidR="00000000" w:rsidRPr="00000000">
        <w:rPr>
          <w:rtl w:val="0"/>
        </w:rPr>
        <w:t xml:space="preserve"> to require companies to test AI decision systems for validity and the risk that they violate consumer protection, labor, civil rights, and other laws;</w:t>
      </w:r>
    </w:p>
    <w:p w:rsidR="00000000" w:rsidDel="00000000" w:rsidP="00000000" w:rsidRDefault="00000000" w:rsidRPr="00000000" w14:paraId="00000014">
      <w:pPr>
        <w:numPr>
          <w:ilvl w:val="0"/>
          <w:numId w:val="1"/>
        </w:numPr>
        <w:ind w:left="648" w:hanging="360"/>
        <w:rPr>
          <w:b w:val="1"/>
        </w:rPr>
      </w:pPr>
      <w:r w:rsidDel="00000000" w:rsidR="00000000" w:rsidRPr="00000000">
        <w:rPr>
          <w:b w:val="1"/>
          <w:rtl w:val="0"/>
        </w:rPr>
        <w:t xml:space="preserve">Require mitigation </w:t>
      </w:r>
      <w:r w:rsidDel="00000000" w:rsidR="00000000" w:rsidRPr="00000000">
        <w:rPr>
          <w:rtl w:val="0"/>
        </w:rPr>
        <w:t xml:space="preserve">of discriminatory harms discovered through impact assessments. </w:t>
      </w:r>
      <w:r w:rsidDel="00000000" w:rsidR="00000000" w:rsidRPr="00000000">
        <w:rPr>
          <w:rtl w:val="0"/>
        </w:rPr>
      </w:r>
    </w:p>
    <w:p w:rsidR="00000000" w:rsidDel="00000000" w:rsidP="00000000" w:rsidRDefault="00000000" w:rsidRPr="00000000" w14:paraId="00000015">
      <w:pPr>
        <w:numPr>
          <w:ilvl w:val="0"/>
          <w:numId w:val="1"/>
        </w:numPr>
        <w:ind w:left="648" w:hanging="360"/>
        <w:rPr>
          <w:b w:val="1"/>
        </w:rPr>
      </w:pPr>
      <w:r w:rsidDel="00000000" w:rsidR="00000000" w:rsidRPr="00000000">
        <w:rPr>
          <w:b w:val="1"/>
          <w:rtl w:val="0"/>
        </w:rPr>
        <w:t xml:space="preserve">Eliminating the many loopholes</w:t>
      </w:r>
      <w:r w:rsidDel="00000000" w:rsidR="00000000" w:rsidRPr="00000000">
        <w:rPr>
          <w:rtl w:val="0"/>
        </w:rPr>
        <w:t xml:space="preserve"> that exclude numerous consumers, workers, and companies from the law’s protections and obligations</w:t>
      </w:r>
      <w:r w:rsidDel="00000000" w:rsidR="00000000" w:rsidRPr="00000000">
        <w:rPr>
          <w:rtl w:val="0"/>
        </w:rPr>
        <w:t xml:space="preserve">, as well as </w:t>
      </w:r>
      <w:r w:rsidDel="00000000" w:rsidR="00000000" w:rsidRPr="00000000">
        <w:rPr>
          <w:b w:val="1"/>
          <w:rtl w:val="0"/>
        </w:rPr>
        <w:t xml:space="preserve">unnecessary and overbroad rebuttable presumptions and </w:t>
      </w:r>
      <w:r w:rsidDel="00000000" w:rsidR="00000000" w:rsidRPr="00000000">
        <w:rPr>
          <w:b w:val="1"/>
          <w:rtl w:val="0"/>
        </w:rPr>
        <w:t xml:space="preserve">affirmative defenses</w:t>
      </w:r>
      <w:r w:rsidDel="00000000" w:rsidR="00000000" w:rsidRPr="00000000">
        <w:rPr>
          <w:rtl w:val="0"/>
        </w:rPr>
        <w:t xml:space="preserve"> that allow companies to escape accountability</w:t>
      </w:r>
      <w:r w:rsidDel="00000000" w:rsidR="00000000" w:rsidRPr="00000000">
        <w:rPr>
          <w:rtl w:val="0"/>
        </w:rPr>
        <w:t xml:space="preserve">; and </w:t>
      </w:r>
    </w:p>
    <w:p w:rsidR="00000000" w:rsidDel="00000000" w:rsidP="00000000" w:rsidRDefault="00000000" w:rsidRPr="00000000" w14:paraId="00000016">
      <w:pPr>
        <w:numPr>
          <w:ilvl w:val="0"/>
          <w:numId w:val="1"/>
        </w:numPr>
        <w:ind w:left="648" w:hanging="360"/>
        <w:rPr>
          <w:b w:val="1"/>
        </w:rPr>
      </w:pPr>
      <w:r w:rsidDel="00000000" w:rsidR="00000000" w:rsidRPr="00000000">
        <w:rPr>
          <w:b w:val="1"/>
          <w:rtl w:val="0"/>
        </w:rPr>
        <w:t xml:space="preserve">Strengthening enforcement</w:t>
      </w:r>
      <w:r w:rsidDel="00000000" w:rsidR="00000000" w:rsidRPr="00000000">
        <w:rPr>
          <w:rtl w:val="0"/>
        </w:rPr>
        <w:t xml:space="preserve"> by allowing the CHRO and local district attorneys to engage in enforcement and giving consumers and workers the right to seek redress in court when companies fail to comply with the law.</w:t>
      </w:r>
    </w:p>
    <w:p w:rsidR="00000000" w:rsidDel="00000000" w:rsidP="00000000" w:rsidRDefault="00000000" w:rsidRPr="00000000" w14:paraId="00000017">
      <w:pPr>
        <w:numPr>
          <w:ilvl w:val="0"/>
          <w:numId w:val="1"/>
        </w:numPr>
        <w:ind w:left="648" w:hanging="360"/>
        <w:rPr>
          <w:u w:val="none"/>
        </w:rPr>
      </w:pPr>
      <w:r w:rsidDel="00000000" w:rsidR="00000000" w:rsidRPr="00000000">
        <w:rPr>
          <w:b w:val="1"/>
          <w:rtl w:val="0"/>
        </w:rPr>
        <w:t xml:space="preserve">Clarifying how the law applies to the public sector</w:t>
      </w:r>
      <w:r w:rsidDel="00000000" w:rsidR="00000000" w:rsidRPr="00000000">
        <w:rPr>
          <w:rtl w:val="0"/>
        </w:rPr>
        <w:t xml:space="preserve"> and </w:t>
      </w:r>
      <w:r w:rsidDel="00000000" w:rsidR="00000000" w:rsidRPr="00000000">
        <w:rPr>
          <w:b w:val="1"/>
          <w:rtl w:val="0"/>
        </w:rPr>
        <w:t xml:space="preserve">ensuring public sector employees enjoy the same rights</w:t>
      </w:r>
      <w:r w:rsidDel="00000000" w:rsidR="00000000" w:rsidRPr="00000000">
        <w:rPr>
          <w:rtl w:val="0"/>
        </w:rPr>
        <w:t xml:space="preserve"> as private-sector workers under the act</w:t>
      </w:r>
      <w:r w:rsidDel="00000000" w:rsidR="00000000" w:rsidRPr="00000000">
        <w:rPr>
          <w:rtl w:val="0"/>
        </w:rPr>
        <w:t xml:space="preserve">.</w:t>
      </w:r>
    </w:p>
    <w:p w:rsidR="00000000" w:rsidDel="00000000" w:rsidP="00000000" w:rsidRDefault="00000000" w:rsidRPr="00000000" w14:paraId="00000018">
      <w:pPr>
        <w:numPr>
          <w:ilvl w:val="0"/>
          <w:numId w:val="1"/>
        </w:numPr>
        <w:ind w:left="648" w:hanging="360"/>
        <w:rPr/>
      </w:pPr>
      <w:r w:rsidDel="00000000" w:rsidR="00000000" w:rsidRPr="00000000">
        <w:rPr>
          <w:rtl w:val="0"/>
        </w:rPr>
        <w:t xml:space="preserve">Establishing </w:t>
      </w:r>
      <w:r w:rsidDel="00000000" w:rsidR="00000000" w:rsidRPr="00000000">
        <w:rPr>
          <w:b w:val="1"/>
          <w:rtl w:val="0"/>
        </w:rPr>
        <w:t xml:space="preserve">community-based education and training</w:t>
      </w:r>
      <w:r w:rsidDel="00000000" w:rsidR="00000000" w:rsidRPr="00000000">
        <w:rPr>
          <w:rtl w:val="0"/>
        </w:rPr>
        <w:t xml:space="preserve"> for workers from groups vulnerable to automation, including workers from historically marginalized communities, and a </w:t>
      </w:r>
      <w:r w:rsidDel="00000000" w:rsidR="00000000" w:rsidRPr="00000000">
        <w:rPr>
          <w:b w:val="1"/>
          <w:rtl w:val="0"/>
        </w:rPr>
        <w:t xml:space="preserve">joint labor-management committee</w:t>
      </w:r>
      <w:r w:rsidDel="00000000" w:rsidR="00000000" w:rsidRPr="00000000">
        <w:rPr>
          <w:rtl w:val="0"/>
        </w:rPr>
        <w:t xml:space="preserve"> to improve state employee AI trainings.</w:t>
      </w:r>
    </w:p>
    <w:p w:rsidR="00000000" w:rsidDel="00000000" w:rsidP="00000000" w:rsidRDefault="00000000" w:rsidRPr="00000000" w14:paraId="00000019">
      <w:pPr>
        <w:numPr>
          <w:ilvl w:val="0"/>
          <w:numId w:val="1"/>
        </w:numPr>
        <w:ind w:left="648" w:hanging="360"/>
        <w:rPr>
          <w:b w:val="1"/>
        </w:rPr>
      </w:pPr>
      <w:r w:rsidDel="00000000" w:rsidR="00000000" w:rsidRPr="00000000">
        <w:rPr>
          <w:rtl w:val="0"/>
        </w:rPr>
        <w:t xml:space="preserve">Giving the </w:t>
      </w:r>
      <w:r w:rsidDel="00000000" w:rsidR="00000000" w:rsidRPr="00000000">
        <w:rPr>
          <w:b w:val="1"/>
          <w:rtl w:val="0"/>
        </w:rPr>
        <w:t xml:space="preserve">Attorney General authority to issue rules</w:t>
      </w:r>
      <w:r w:rsidDel="00000000" w:rsidR="00000000" w:rsidRPr="00000000">
        <w:rPr>
          <w:rtl w:val="0"/>
        </w:rPr>
        <w:t xml:space="preserve"> interpreting and clarifying the law.</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Connecticut played a crucial role in kickstarting the national conversation about managing AI risks in 2024. It has an opportunity in 2025 to lead the nation with innovative policy that places common-sense guardrails on the development and use of AI and automated decision-making systems. We are eager to work with lawmakers to craft AI legislation that both protects the rights and privacy of Connecticut residents and encourages technological innovation.</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Signed:</w:t>
      </w:r>
    </w:p>
    <w:p w:rsidR="00000000" w:rsidDel="00000000" w:rsidP="00000000" w:rsidRDefault="00000000" w:rsidRPr="00000000" w14:paraId="0000001E">
      <w:pPr>
        <w:rPr/>
      </w:pPr>
      <w:r w:rsidDel="00000000" w:rsidR="00000000" w:rsidRPr="00000000">
        <w:rPr>
          <w:rtl w:val="0"/>
        </w:rPr>
        <w:t xml:space="preserve">ACLU of Connecticut</w:t>
      </w:r>
    </w:p>
    <w:p w:rsidR="00000000" w:rsidDel="00000000" w:rsidP="00000000" w:rsidRDefault="00000000" w:rsidRPr="00000000" w14:paraId="0000001F">
      <w:pPr>
        <w:rPr/>
      </w:pPr>
      <w:r w:rsidDel="00000000" w:rsidR="00000000" w:rsidRPr="00000000">
        <w:rPr>
          <w:rtl w:val="0"/>
        </w:rPr>
        <w:t xml:space="preserve">AFT Connecticut</w:t>
      </w:r>
    </w:p>
    <w:p w:rsidR="00000000" w:rsidDel="00000000" w:rsidP="00000000" w:rsidRDefault="00000000" w:rsidRPr="00000000" w14:paraId="00000020">
      <w:pPr>
        <w:rPr/>
      </w:pPr>
      <w:r w:rsidDel="00000000" w:rsidR="00000000" w:rsidRPr="00000000">
        <w:rPr>
          <w:rtl w:val="0"/>
        </w:rPr>
        <w:t xml:space="preserve">Center for Democracy &amp; Technology</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Connecticut AFL-CIO</w:t>
      </w:r>
    </w:p>
    <w:p w:rsidR="00000000" w:rsidDel="00000000" w:rsidP="00000000" w:rsidRDefault="00000000" w:rsidRPr="00000000" w14:paraId="00000022">
      <w:pPr>
        <w:rPr/>
      </w:pPr>
      <w:r w:rsidDel="00000000" w:rsidR="00000000" w:rsidRPr="00000000">
        <w:rPr>
          <w:rtl w:val="0"/>
        </w:rPr>
        <w:t xml:space="preserve">Consumer Federation of America</w:t>
      </w:r>
    </w:p>
    <w:p w:rsidR="00000000" w:rsidDel="00000000" w:rsidP="00000000" w:rsidRDefault="00000000" w:rsidRPr="00000000" w14:paraId="00000023">
      <w:pPr>
        <w:rPr/>
      </w:pPr>
      <w:r w:rsidDel="00000000" w:rsidR="00000000" w:rsidRPr="00000000">
        <w:rPr>
          <w:rtl w:val="0"/>
        </w:rPr>
        <w:t xml:space="preserve">Consumer Reports</w:t>
      </w:r>
    </w:p>
    <w:p w:rsidR="00000000" w:rsidDel="00000000" w:rsidP="00000000" w:rsidRDefault="00000000" w:rsidRPr="00000000" w14:paraId="00000024">
      <w:pPr>
        <w:rPr/>
      </w:pPr>
      <w:r w:rsidDel="00000000" w:rsidR="00000000" w:rsidRPr="00000000">
        <w:rPr>
          <w:rtl w:val="0"/>
        </w:rPr>
        <w:t xml:space="preserve">Electronic Privacy Information Center</w:t>
      </w:r>
    </w:p>
    <w:p w:rsidR="00000000" w:rsidDel="00000000" w:rsidP="00000000" w:rsidRDefault="00000000" w:rsidRPr="00000000" w14:paraId="00000025">
      <w:pPr>
        <w:rPr/>
      </w:pPr>
      <w:r w:rsidDel="00000000" w:rsidR="00000000" w:rsidRPr="00000000">
        <w:rPr>
          <w:rtl w:val="0"/>
        </w:rPr>
        <w:t xml:space="preserve">Hispanic Federation Connecticut State Office</w:t>
      </w:r>
    </w:p>
    <w:p w:rsidR="00000000" w:rsidDel="00000000" w:rsidP="00000000" w:rsidRDefault="00000000" w:rsidRPr="00000000" w14:paraId="00000026">
      <w:pPr>
        <w:rPr/>
      </w:pPr>
      <w:r w:rsidDel="00000000" w:rsidR="00000000" w:rsidRPr="00000000">
        <w:rPr>
          <w:rtl w:val="0"/>
        </w:rPr>
        <w:t xml:space="preserve">NAACP Connecticut State Conference</w:t>
      </w:r>
    </w:p>
    <w:sectPr>
      <w:pgSz w:h="15840" w:w="12240" w:orient="portrait"/>
      <w:pgMar w:bottom="108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6.png"/><Relationship Id="rId13" Type="http://schemas.openxmlformats.org/officeDocument/2006/relationships/image" Target="media/image8.gif"/><Relationship Id="rId12" Type="http://schemas.openxmlformats.org/officeDocument/2006/relationships/image" Target="media/image7.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hyperlink" Target="https://www.aclu.org/news/racial-justice/how-artificial-intelligence-might-prevent-you-from-getting-hired" TargetMode="External"/><Relationship Id="rId14" Type="http://schemas.openxmlformats.org/officeDocument/2006/relationships/image" Target="media/image4.png"/><Relationship Id="rId17" Type="http://schemas.openxmlformats.org/officeDocument/2006/relationships/hyperlink" Target="https://innovation.consumerreports.org/cr-publishes-artificial-intelligence-policy-recommendations/" TargetMode="External"/><Relationship Id="rId16" Type="http://schemas.openxmlformats.org/officeDocument/2006/relationships/hyperlink" Target="https://www.afr.com/technology/snake-oil-don-t-believe-the-artificial-intelligence-hype-20240909-p5k93y" TargetMode="External"/><Relationship Id="rId5" Type="http://schemas.openxmlformats.org/officeDocument/2006/relationships/styles" Target="styles.xml"/><Relationship Id="rId6" Type="http://schemas.openxmlformats.org/officeDocument/2006/relationships/image" Target="media/image9.png"/><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