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4A367F47"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C25F36">
        <w:rPr>
          <w:rFonts w:ascii="Century Schoolbook" w:eastAsia="Times New Roman" w:hAnsi="Century Schoolbook" w:cs="Times New Roman"/>
          <w:b/>
        </w:rPr>
        <w:t xml:space="preserve">Supporting </w:t>
      </w:r>
      <w:r w:rsidR="00C25F36" w:rsidRPr="00C25F36">
        <w:rPr>
          <w:rFonts w:ascii="Century Schoolbook" w:eastAsia="Times New Roman" w:hAnsi="Century Schoolbook" w:cs="Times New Roman"/>
          <w:b/>
        </w:rPr>
        <w:t>Senate Bill 1264, An Act Requiring a Notification of Rights to Parties Before a Fair Rent Commission</w:t>
      </w:r>
      <w:r w:rsidR="00C25F36" w:rsidRPr="00C25F36">
        <w:rPr>
          <w:rFonts w:ascii="Century Schoolbook" w:eastAsia="Times New Roman" w:hAnsi="Century Schoolbook" w:cs="Times New Roman"/>
          <w:b/>
        </w:rPr>
        <w:t xml:space="preserve">, </w:t>
      </w:r>
      <w:r w:rsidR="00C25F36" w:rsidRPr="00C25F36">
        <w:rPr>
          <w:rFonts w:ascii="Century Schoolbook" w:eastAsia="Times New Roman" w:hAnsi="Century Schoolbook" w:cs="Times New Roman"/>
          <w:b/>
        </w:rPr>
        <w:t>Senate Bill 1302, An Act Prohibiting the Eviction of a Residential Tenant for Nonpayment of Rent if the Landlord’s Online Rental Payment System Prevents Such Payment of Rent</w:t>
      </w:r>
      <w:r w:rsidR="00C25F36" w:rsidRPr="00C25F36">
        <w:rPr>
          <w:rFonts w:ascii="Century Schoolbook" w:eastAsia="Times New Roman" w:hAnsi="Century Schoolbook" w:cs="Times New Roman"/>
          <w:b/>
        </w:rPr>
        <w:t xml:space="preserve">, </w:t>
      </w:r>
      <w:r w:rsidR="00C25F36" w:rsidRPr="00C25F36">
        <w:rPr>
          <w:rFonts w:ascii="Century Schoolbook" w:eastAsia="Times New Roman" w:hAnsi="Century Schoolbook" w:cs="Times New Roman"/>
          <w:b/>
        </w:rPr>
        <w:t xml:space="preserve">House Bill 6943, </w:t>
      </w:r>
      <w:r w:rsidR="009856A4">
        <w:rPr>
          <w:rFonts w:ascii="Century Schoolbook" w:eastAsia="Times New Roman" w:hAnsi="Century Schoolbook" w:cs="Times New Roman"/>
          <w:b/>
        </w:rPr>
        <w:t xml:space="preserve">An Act Concerning Protections for Residential Tenants, Senate Bill 1303, </w:t>
      </w:r>
      <w:r w:rsidR="00C25F36" w:rsidRPr="00C25F36">
        <w:rPr>
          <w:rFonts w:ascii="Century Schoolbook" w:eastAsia="Times New Roman" w:hAnsi="Century Schoolbook" w:cs="Times New Roman"/>
          <w:b/>
        </w:rPr>
        <w:t>An Act Concerning Nonresident Landlord Registration and Increasing Penalties for Repeat Building and Fire Code Violations</w:t>
      </w:r>
      <w:r w:rsidR="00C25F36" w:rsidRPr="00C25F36">
        <w:rPr>
          <w:rFonts w:ascii="Century Schoolbook" w:eastAsia="Times New Roman" w:hAnsi="Century Schoolbook" w:cs="Times New Roman"/>
          <w:b/>
        </w:rPr>
        <w:t xml:space="preserve">, </w:t>
      </w:r>
      <w:r w:rsidR="00C25F36" w:rsidRPr="00C25F36">
        <w:rPr>
          <w:rFonts w:ascii="Century Schoolbook" w:eastAsia="Times New Roman" w:hAnsi="Century Schoolbook" w:cs="Times New Roman"/>
          <w:b/>
        </w:rPr>
        <w:t>House Bill 6891, An Act Prohibiting a Landlord from Requiring a Security Deposit in Excess of One Month’s Rent from Any Tenant</w:t>
      </w:r>
      <w:r w:rsidR="00C25F36" w:rsidRPr="00C25F36">
        <w:rPr>
          <w:rFonts w:ascii="Century Schoolbook" w:eastAsia="Times New Roman" w:hAnsi="Century Schoolbook" w:cs="Times New Roman"/>
          <w:b/>
        </w:rPr>
        <w:t xml:space="preserve">, </w:t>
      </w:r>
      <w:r w:rsidR="00C25F36" w:rsidRPr="00C25F36">
        <w:rPr>
          <w:rFonts w:ascii="Century Schoolbook" w:eastAsia="Times New Roman" w:hAnsi="Century Schoolbook" w:cs="Times New Roman"/>
          <w:b/>
        </w:rPr>
        <w:t>House Bill 6892, An Act Limiting the Increase of Rental Charges Upon Transfer or Residential Property to a New Owner</w:t>
      </w:r>
      <w:r w:rsidR="00C25F36" w:rsidRPr="00C25F36">
        <w:rPr>
          <w:rFonts w:ascii="Century Schoolbook" w:eastAsia="Times New Roman" w:hAnsi="Century Schoolbook" w:cs="Times New Roman"/>
          <w:b/>
        </w:rPr>
        <w:t xml:space="preserve">, </w:t>
      </w:r>
      <w:r w:rsidR="00C25F36" w:rsidRPr="00C25F36">
        <w:rPr>
          <w:rFonts w:ascii="Century Schoolbook" w:eastAsia="Times New Roman" w:hAnsi="Century Schoolbook" w:cs="Times New Roman"/>
          <w:b/>
        </w:rPr>
        <w:t>Senate Bill 1304, An Act Prohibiting a Landlord from Retaliating Against a Tenant Who Prevails in a Fair Rent Commission Proceeding</w:t>
      </w:r>
      <w:r w:rsidR="00C25F36" w:rsidRPr="00C25F36">
        <w:rPr>
          <w:rFonts w:ascii="Century Schoolbook" w:eastAsia="Times New Roman" w:hAnsi="Century Schoolbook" w:cs="Times New Roman"/>
          <w:b/>
        </w:rPr>
        <w:t xml:space="preserve">, and </w:t>
      </w:r>
      <w:r w:rsidR="00C25F36" w:rsidRPr="00C25F36">
        <w:rPr>
          <w:rFonts w:ascii="Century Schoolbook" w:eastAsia="Times New Roman" w:hAnsi="Century Schoolbook" w:cs="Times New Roman"/>
          <w:b/>
        </w:rPr>
        <w:t>House Bill 6939, An Act Authorizing State Funding for the Right to Counsel Program</w:t>
      </w:r>
    </w:p>
    <w:p w14:paraId="18749A34" w14:textId="77777777" w:rsidR="00B75D0E" w:rsidRDefault="00B75D0E" w:rsidP="00B75D0E">
      <w:pPr>
        <w:rPr>
          <w:rFonts w:ascii="Century Schoolbook" w:eastAsia="Times New Roman" w:hAnsi="Century Schoolbook" w:cs="Times New Roman"/>
          <w:b/>
        </w:rPr>
      </w:pPr>
    </w:p>
    <w:p w14:paraId="4C4C7EE7" w14:textId="007C8F9A"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r w:rsidR="00DA4660">
        <w:rPr>
          <w:rFonts w:ascii="Century Schoolbook" w:eastAsia="Times New Roman" w:hAnsi="Century Schoolbook" w:cs="Times New Roman"/>
        </w:rPr>
        <w:t>Marx</w:t>
      </w:r>
      <w:r>
        <w:rPr>
          <w:rFonts w:ascii="Century Schoolbook" w:eastAsia="Times New Roman" w:hAnsi="Century Schoolbook" w:cs="Times New Roman"/>
        </w:rPr>
        <w:t xml:space="preserve">, Representative </w:t>
      </w:r>
      <w:r w:rsidR="00DA4660">
        <w:rPr>
          <w:rFonts w:ascii="Century Schoolbook" w:eastAsia="Times New Roman" w:hAnsi="Century Schoolbook" w:cs="Times New Roman"/>
        </w:rPr>
        <w:t>Felipe</w:t>
      </w:r>
      <w:r>
        <w:rPr>
          <w:rFonts w:ascii="Century Schoolbook" w:eastAsia="Times New Roman" w:hAnsi="Century Schoolbook" w:cs="Times New Roman"/>
        </w:rPr>
        <w:t xml:space="preserve">, Ranking Members </w:t>
      </w:r>
      <w:r w:rsidR="00DA4660">
        <w:rPr>
          <w:rFonts w:ascii="Century Schoolbook" w:eastAsia="Times New Roman" w:hAnsi="Century Schoolbook" w:cs="Times New Roman"/>
        </w:rPr>
        <w:t>Sampson</w:t>
      </w:r>
      <w:r>
        <w:rPr>
          <w:rFonts w:ascii="Century Schoolbook" w:eastAsia="Times New Roman" w:hAnsi="Century Schoolbook" w:cs="Times New Roman"/>
        </w:rPr>
        <w:t xml:space="preserve"> and </w:t>
      </w:r>
      <w:r w:rsidR="00DA4660">
        <w:rPr>
          <w:rFonts w:ascii="Century Schoolbook" w:eastAsia="Times New Roman" w:hAnsi="Century Schoolbook" w:cs="Times New Roman"/>
        </w:rPr>
        <w:t>Scott</w:t>
      </w:r>
      <w:r>
        <w:rPr>
          <w:rFonts w:ascii="Century Schoolbook" w:eastAsia="Times New Roman" w:hAnsi="Century Schoolbook" w:cs="Times New Roman"/>
        </w:rPr>
        <w:t xml:space="preserve">, and members of the </w:t>
      </w:r>
      <w:r w:rsidR="00527DCB">
        <w:rPr>
          <w:rFonts w:ascii="Century Schoolbook" w:eastAsia="Times New Roman" w:hAnsi="Century Schoolbook" w:cs="Times New Roman"/>
        </w:rPr>
        <w:t>H</w:t>
      </w:r>
      <w:r w:rsidR="00DA4660">
        <w:rPr>
          <w:rFonts w:ascii="Century Schoolbook" w:eastAsia="Times New Roman" w:hAnsi="Century Schoolbook" w:cs="Times New Roman"/>
        </w:rPr>
        <w:t>ousing</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A4C6B77" w14:textId="027962D6"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C25F36">
        <w:rPr>
          <w:rFonts w:ascii="Century Schoolbook" w:eastAsia="Times New Roman" w:hAnsi="Century Schoolbook" w:cs="Times New Roman"/>
        </w:rPr>
        <w:t xml:space="preserve"> support of SB 1264, SB 1302, </w:t>
      </w:r>
      <w:r w:rsidR="009856A4">
        <w:rPr>
          <w:rFonts w:ascii="Century Schoolbook" w:eastAsia="Times New Roman" w:hAnsi="Century Schoolbook" w:cs="Times New Roman"/>
        </w:rPr>
        <w:t xml:space="preserve">SB 1303, </w:t>
      </w:r>
      <w:r w:rsidR="00C25F36">
        <w:rPr>
          <w:rFonts w:ascii="Century Schoolbook" w:eastAsia="Times New Roman" w:hAnsi="Century Schoolbook" w:cs="Times New Roman"/>
        </w:rPr>
        <w:t>SB 1304, HB 6943, HB 6891, HB 6892, and HB 6939.</w:t>
      </w:r>
    </w:p>
    <w:p w14:paraId="0CA392DC" w14:textId="7A45B193" w:rsidR="0066607E" w:rsidRDefault="0066607E" w:rsidP="00A72F93">
      <w:pPr>
        <w:spacing w:line="360" w:lineRule="auto"/>
        <w:jc w:val="both"/>
        <w:rPr>
          <w:rFonts w:ascii="Century Schoolbook" w:eastAsia="Times New Roman" w:hAnsi="Century Schoolbook" w:cs="Times New Roman"/>
        </w:rPr>
      </w:pPr>
    </w:p>
    <w:p w14:paraId="40CB1305" w14:textId="77777777" w:rsidR="0066607E"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The ACLU-CT believes in a society where all people, including those who have been convicted or accused of a crime, have equal opportunity to contribute to their communities and build successful and fulfilling lives. Everybody needs a safe, sanitary, and stable place to live, which builds prosperous communities.</w:t>
      </w:r>
      <w:r>
        <w:rPr>
          <w:rFonts w:ascii="Century Schoolbook" w:eastAsia="Times New Roman" w:hAnsi="Century Schoolbook" w:cs="Times New Roman"/>
        </w:rPr>
        <w:t xml:space="preserve"> </w:t>
      </w:r>
      <w:r>
        <w:rPr>
          <w:rFonts w:ascii="Century Schoolbook" w:eastAsia="Times New Roman" w:hAnsi="Century Schoolbook" w:cs="Times New Roman"/>
        </w:rPr>
        <w:t>But especially since the pandemic, rent has skyrocketed across the country and across the state, increasing by 20 percent on average over the last two years.</w:t>
      </w:r>
      <w:r>
        <w:rPr>
          <w:rStyle w:val="FootnoteReference"/>
          <w:rFonts w:ascii="Century Schoolbook" w:eastAsia="Times New Roman" w:hAnsi="Century Schoolbook" w:cs="Times New Roman"/>
        </w:rPr>
        <w:footnoteReference w:id="1"/>
      </w:r>
      <w:r>
        <w:rPr>
          <w:rFonts w:ascii="Century Schoolbook" w:eastAsia="Times New Roman" w:hAnsi="Century Schoolbook" w:cs="Times New Roman"/>
        </w:rPr>
        <w:t xml:space="preserve"> At the same time, </w:t>
      </w:r>
      <w:r>
        <w:rPr>
          <w:rFonts w:ascii="Century Schoolbook" w:eastAsia="Times New Roman" w:hAnsi="Century Schoolbook" w:cs="Times New Roman"/>
        </w:rPr>
        <w:lastRenderedPageBreak/>
        <w:t>wages have not kept up with inflation, and the frequency of no-fault evictions has also increased, meaning that tenants are losing their homes even when a landlord did not claim they did anything wrong.</w:t>
      </w:r>
      <w:r>
        <w:rPr>
          <w:rStyle w:val="FootnoteReference"/>
          <w:rFonts w:ascii="Century Schoolbook" w:eastAsia="Times New Roman" w:hAnsi="Century Schoolbook" w:cs="Times New Roman"/>
        </w:rPr>
        <w:footnoteReference w:id="2"/>
      </w:r>
    </w:p>
    <w:p w14:paraId="49A58633" w14:textId="77777777" w:rsidR="0066607E" w:rsidRDefault="0066607E" w:rsidP="0066607E">
      <w:pPr>
        <w:spacing w:line="360" w:lineRule="auto"/>
        <w:jc w:val="both"/>
        <w:rPr>
          <w:rFonts w:ascii="Century Schoolbook" w:eastAsia="Times New Roman" w:hAnsi="Century Schoolbook" w:cs="Times New Roman"/>
        </w:rPr>
      </w:pPr>
    </w:p>
    <w:p w14:paraId="2A8F2F9D" w14:textId="1E9AC9C2" w:rsidR="0066607E"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People in Connecticut cannot have a future here if they cannot afford a place to live. When housing becomes unaffordable, there are cascading effects—like displacement from beloved homes, neighborhoods, and schools. When working people can afford to pay their rent, they can take better care of their families. Rent hikes and no-fault evictions are displacing people from their homes and communities, fueling gentrification, and increasing evictions and homelessness, which, because of systemic racism, disproportionately harms Black and brown working-class renters and immigrants. Oftentimes, people are not aware of their rights during eviction proceedings because not everybody has easy access to a lawyer.</w:t>
      </w:r>
    </w:p>
    <w:p w14:paraId="333AE4F4" w14:textId="756E376F" w:rsidR="0066607E" w:rsidRDefault="0066607E" w:rsidP="0066607E">
      <w:pPr>
        <w:spacing w:line="360" w:lineRule="auto"/>
        <w:jc w:val="both"/>
        <w:rPr>
          <w:rFonts w:ascii="Century Schoolbook" w:eastAsia="Times New Roman" w:hAnsi="Century Schoolbook" w:cs="Times New Roman"/>
        </w:rPr>
      </w:pPr>
    </w:p>
    <w:p w14:paraId="20519284" w14:textId="68F4A74E" w:rsidR="0066607E"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The ACLU-CT supports legislation and policies that strengthen tenants’ rights, increase access to housing justice, and hold landlords accountable when they violate their tenants’ rights. We urge this Committee to support the passage of the following bills:</w:t>
      </w:r>
    </w:p>
    <w:p w14:paraId="0CC352DA" w14:textId="3C4E1DCF" w:rsidR="0066607E" w:rsidRDefault="0066607E" w:rsidP="0066607E">
      <w:pPr>
        <w:spacing w:line="360" w:lineRule="auto"/>
        <w:jc w:val="both"/>
        <w:rPr>
          <w:rFonts w:ascii="Century Schoolbook" w:eastAsia="Times New Roman" w:hAnsi="Century Schoolbook" w:cs="Times New Roman"/>
        </w:rPr>
      </w:pPr>
    </w:p>
    <w:p w14:paraId="1BDA52E9" w14:textId="39D8729A" w:rsidR="0066607E"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Senate Bill 1264, An Act Requiring a Notification of Rights to Parties Before a Fair Rent Commission:</w:t>
      </w:r>
    </w:p>
    <w:p w14:paraId="494720FE" w14:textId="439D85A6" w:rsidR="00C25F36" w:rsidRDefault="00C25F36"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Many people are not aware of their legal rights before a fair rent commission hearing. The Commission should be required to notify parties of their rights when they participate in a fair rent commission. </w:t>
      </w:r>
    </w:p>
    <w:p w14:paraId="397660F7" w14:textId="0D72C225" w:rsidR="0066607E" w:rsidRDefault="0066607E" w:rsidP="0066607E">
      <w:pPr>
        <w:spacing w:line="360" w:lineRule="auto"/>
        <w:jc w:val="both"/>
        <w:rPr>
          <w:rFonts w:ascii="Century Schoolbook" w:eastAsia="Times New Roman" w:hAnsi="Century Schoolbook" w:cs="Times New Roman"/>
        </w:rPr>
      </w:pPr>
    </w:p>
    <w:p w14:paraId="068EB3D3" w14:textId="05F0B82C" w:rsidR="0066607E"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lastRenderedPageBreak/>
        <w:t>Senate Bill 1302, An Act Prohibiting the Eviction of a Residential Tenant for Nonpayment of Rent if the Landlord’s Online Rental Payment System Prevents Such Payment of Rent:</w:t>
      </w:r>
    </w:p>
    <w:p w14:paraId="7ED61179" w14:textId="637FD342" w:rsidR="00C25F36" w:rsidRDefault="00C25F36"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Tenants should not be punished through eviction when a landlord’s online payment system does not function. The responsibility is on the landlord to maintain a functioning payment system and failure to pay rent on a broken system should not be a justification for eviction.</w:t>
      </w:r>
    </w:p>
    <w:p w14:paraId="5A24FE88" w14:textId="58457D59" w:rsidR="0066607E" w:rsidRDefault="0066607E" w:rsidP="0066607E">
      <w:pPr>
        <w:spacing w:line="360" w:lineRule="auto"/>
        <w:jc w:val="both"/>
        <w:rPr>
          <w:rFonts w:ascii="Century Schoolbook" w:eastAsia="Times New Roman" w:hAnsi="Century Schoolbook" w:cs="Times New Roman"/>
        </w:rPr>
      </w:pPr>
    </w:p>
    <w:p w14:paraId="6C674D00" w14:textId="35EE3327" w:rsidR="009856A4"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House Bill 6943, </w:t>
      </w:r>
      <w:r w:rsidR="009856A4">
        <w:rPr>
          <w:rFonts w:ascii="Century Schoolbook" w:eastAsia="Times New Roman" w:hAnsi="Century Schoolbook" w:cs="Times New Roman"/>
        </w:rPr>
        <w:t>An Act Concerning Protections for Residential Tenants:</w:t>
      </w:r>
    </w:p>
    <w:p w14:paraId="0E2D3DA8" w14:textId="422A89A4" w:rsidR="009856A4" w:rsidRDefault="009856A4"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This bill would require landlords to provide tenants accountings of charges, payments, and balances owed; require landlords to apply rent payments to current rent before arrearages; prohibit landlords from requiring tenants to pay an extra fee for a month-to-month lease or holding over beyond the term of the lease; require landlords to provide written notice to tenants that they are entitled to file complaints with fair rent commissions to dispute rent increases; require a landlord to provide a tenant with an application for admission as an elector; establish as an unfair trade practice a landlord marketing a lease containing provisions that violate state law. These are all reasonable tenant protections that the ACLU-CT supports. </w:t>
      </w:r>
      <w:bookmarkStart w:id="0" w:name="_GoBack"/>
      <w:bookmarkEnd w:id="0"/>
    </w:p>
    <w:p w14:paraId="59FBE0D4" w14:textId="77777777" w:rsidR="009856A4" w:rsidRDefault="009856A4" w:rsidP="0066607E">
      <w:pPr>
        <w:spacing w:line="360" w:lineRule="auto"/>
        <w:jc w:val="both"/>
        <w:rPr>
          <w:rFonts w:ascii="Century Schoolbook" w:eastAsia="Times New Roman" w:hAnsi="Century Schoolbook" w:cs="Times New Roman"/>
        </w:rPr>
      </w:pPr>
    </w:p>
    <w:p w14:paraId="7CE6A648" w14:textId="54ECA474" w:rsidR="0066607E" w:rsidRDefault="009856A4"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Senate Bill 1303, </w:t>
      </w:r>
      <w:r w:rsidR="0066607E">
        <w:rPr>
          <w:rFonts w:ascii="Century Schoolbook" w:eastAsia="Times New Roman" w:hAnsi="Century Schoolbook" w:cs="Times New Roman"/>
        </w:rPr>
        <w:t>An Act Concerning Nonresident Landlord Registration and Increasing Penalties for Repeat Building and Fire Code Violations:</w:t>
      </w:r>
    </w:p>
    <w:p w14:paraId="64457100" w14:textId="2D11FE13" w:rsidR="0060319C" w:rsidRDefault="0060319C"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This bill is a </w:t>
      </w:r>
      <w:r>
        <w:rPr>
          <w:rFonts w:ascii="Century Schoolbook" w:eastAsia="Times New Roman" w:hAnsi="Century Schoolbook" w:cs="Times New Roman"/>
        </w:rPr>
        <w:t>good step to protecting people from housing situations where landlords are systemically noncompliant with basic health and fire code regulations.</w:t>
      </w:r>
      <w:r>
        <w:rPr>
          <w:rFonts w:ascii="Century Schoolbook" w:eastAsia="Times New Roman" w:hAnsi="Century Schoolbook" w:cs="Times New Roman"/>
        </w:rPr>
        <w:t xml:space="preserve"> No person should be subjected to unsafe and unsanitary living conditions.</w:t>
      </w:r>
    </w:p>
    <w:p w14:paraId="081A5A6D" w14:textId="760BB440" w:rsidR="0066607E" w:rsidRDefault="0066607E" w:rsidP="0066607E">
      <w:pPr>
        <w:spacing w:line="360" w:lineRule="auto"/>
        <w:jc w:val="both"/>
        <w:rPr>
          <w:rFonts w:ascii="Century Schoolbook" w:eastAsia="Times New Roman" w:hAnsi="Century Schoolbook" w:cs="Times New Roman"/>
        </w:rPr>
      </w:pPr>
    </w:p>
    <w:p w14:paraId="3A0F0558" w14:textId="18029F71" w:rsidR="0066607E"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House Bill 6891, An Act Prohibiting a Landlord from Requiring a Security Deposit in Excess of One Month’s Rent from Any Tenant:</w:t>
      </w:r>
    </w:p>
    <w:p w14:paraId="37AB7E7A" w14:textId="49C7D807" w:rsidR="0060319C" w:rsidRDefault="0060319C"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It is already extremely difficult for tenants to find housing and afford the process of moving. Landlords are taking advantage of the housing market and squeezing tenants dry by requiring security deposits in excess of one month’s rent. This is a </w:t>
      </w:r>
      <w:r>
        <w:rPr>
          <w:rFonts w:ascii="Century Schoolbook" w:eastAsia="Times New Roman" w:hAnsi="Century Schoolbook" w:cs="Times New Roman"/>
        </w:rPr>
        <w:lastRenderedPageBreak/>
        <w:t xml:space="preserve">common-sense measure to prevent landlords from taking financial advantage of renters in a difficult housing market. </w:t>
      </w:r>
    </w:p>
    <w:p w14:paraId="47681387" w14:textId="7EC1F5BC" w:rsidR="0066607E" w:rsidRDefault="0066607E" w:rsidP="0066607E">
      <w:pPr>
        <w:spacing w:line="360" w:lineRule="auto"/>
        <w:jc w:val="both"/>
        <w:rPr>
          <w:rFonts w:ascii="Century Schoolbook" w:eastAsia="Times New Roman" w:hAnsi="Century Schoolbook" w:cs="Times New Roman"/>
        </w:rPr>
      </w:pPr>
    </w:p>
    <w:p w14:paraId="71FD2960" w14:textId="12B76AD3" w:rsidR="0066607E" w:rsidRDefault="0066607E"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House Bill 6892, An Act Limiting the Increase of Rental Charges </w:t>
      </w:r>
      <w:r w:rsidR="0060319C">
        <w:rPr>
          <w:rFonts w:ascii="Century Schoolbook" w:eastAsia="Times New Roman" w:hAnsi="Century Schoolbook" w:cs="Times New Roman"/>
        </w:rPr>
        <w:t>Upon Transfer or Residential Property to a New Owner:</w:t>
      </w:r>
    </w:p>
    <w:p w14:paraId="2189D1CF" w14:textId="67C811F4" w:rsidR="0060319C" w:rsidRDefault="0060319C"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We are witnessing rents skyrocket when tenants move out of their apartments, often without major improvements being done to justify a steep increase. This bill would limit the ability of landlords to jack up housing prices when a tenant moves out.</w:t>
      </w:r>
    </w:p>
    <w:p w14:paraId="44D9A1D2" w14:textId="6C21D439" w:rsidR="0060319C" w:rsidRDefault="0060319C" w:rsidP="0066607E">
      <w:pPr>
        <w:spacing w:line="360" w:lineRule="auto"/>
        <w:jc w:val="both"/>
        <w:rPr>
          <w:rFonts w:ascii="Century Schoolbook" w:eastAsia="Times New Roman" w:hAnsi="Century Schoolbook" w:cs="Times New Roman"/>
        </w:rPr>
      </w:pPr>
    </w:p>
    <w:p w14:paraId="68D76DDD" w14:textId="226A8DD9" w:rsidR="0060319C" w:rsidRDefault="0060319C"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Senate Bill 1304, An Act Prohibiting a Landlord from Retaliating Against a Tenant Who Prevails in a Fair Rent Commission Proceeding:</w:t>
      </w:r>
    </w:p>
    <w:p w14:paraId="6CD08815" w14:textId="3D4C028D" w:rsidR="0060319C" w:rsidRDefault="0060319C" w:rsidP="0060319C">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Under no circumstances should a tenant experience retaliation from their landlord. Connecticut law must vigorously protect tenants from retaliation, especially when they hold their landlords accountable through fair rent commissions.</w:t>
      </w:r>
      <w:r w:rsidR="00C25F36">
        <w:rPr>
          <w:rFonts w:ascii="Century Schoolbook" w:eastAsia="Times New Roman" w:hAnsi="Century Schoolbook" w:cs="Times New Roman"/>
        </w:rPr>
        <w:t xml:space="preserve"> This bill should be expanded to protect tenants from retaliation by landlords for any involvement in a fair rent commission, not just a victorious hearing. </w:t>
      </w:r>
    </w:p>
    <w:p w14:paraId="091D0EE5" w14:textId="3AD124C8" w:rsidR="0060319C" w:rsidRDefault="0060319C" w:rsidP="0066607E">
      <w:pPr>
        <w:spacing w:line="360" w:lineRule="auto"/>
        <w:jc w:val="both"/>
        <w:rPr>
          <w:rFonts w:ascii="Century Schoolbook" w:eastAsia="Times New Roman" w:hAnsi="Century Schoolbook" w:cs="Times New Roman"/>
        </w:rPr>
      </w:pPr>
    </w:p>
    <w:p w14:paraId="047CF257" w14:textId="77F5CCC1" w:rsidR="0060319C" w:rsidRDefault="0060319C"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House Bill 6939, An Act Authorizing State Funding for the Right to Counsel Program:</w:t>
      </w:r>
    </w:p>
    <w:p w14:paraId="29E19F3A" w14:textId="0D1CF8CA" w:rsidR="00C25F36" w:rsidRDefault="00C25F36"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Oftentimes, people are not aware of their rights during eviction</w:t>
      </w:r>
      <w:r>
        <w:rPr>
          <w:rFonts w:ascii="Century Schoolbook" w:eastAsia="Times New Roman" w:hAnsi="Century Schoolbook" w:cs="Times New Roman"/>
        </w:rPr>
        <w:t xml:space="preserve"> and other housing</w:t>
      </w:r>
      <w:r>
        <w:rPr>
          <w:rFonts w:ascii="Century Schoolbook" w:eastAsia="Times New Roman" w:hAnsi="Century Schoolbook" w:cs="Times New Roman"/>
        </w:rPr>
        <w:t xml:space="preserve"> proceedings because not everybody has easy access to a lawyer.</w:t>
      </w:r>
      <w:r>
        <w:rPr>
          <w:rFonts w:ascii="Century Schoolbook" w:eastAsia="Times New Roman" w:hAnsi="Century Schoolbook" w:cs="Times New Roman"/>
        </w:rPr>
        <w:t xml:space="preserve"> The Right to Counsel program is essential to connecting tenants with resources and should be funded. </w:t>
      </w:r>
    </w:p>
    <w:p w14:paraId="2B811BCD" w14:textId="131446B7" w:rsidR="00C25F36" w:rsidRDefault="00C25F36" w:rsidP="0066607E">
      <w:pPr>
        <w:spacing w:line="360" w:lineRule="auto"/>
        <w:jc w:val="both"/>
        <w:rPr>
          <w:rFonts w:ascii="Century Schoolbook" w:eastAsia="Times New Roman" w:hAnsi="Century Schoolbook" w:cs="Times New Roman"/>
        </w:rPr>
      </w:pPr>
    </w:p>
    <w:p w14:paraId="0BE999A6" w14:textId="599D5CE4" w:rsidR="00C25F36" w:rsidRDefault="00C25F36" w:rsidP="0066607E">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As such, the ACLU-CT supports the aforementioned bills and encourages this Committee to do the same.</w:t>
      </w:r>
    </w:p>
    <w:p w14:paraId="6D48F1A1" w14:textId="77777777" w:rsidR="0060319C" w:rsidRDefault="0060319C" w:rsidP="0066607E">
      <w:pPr>
        <w:spacing w:line="360" w:lineRule="auto"/>
        <w:jc w:val="both"/>
        <w:rPr>
          <w:rFonts w:ascii="Century Schoolbook" w:eastAsia="Times New Roman" w:hAnsi="Century Schoolbook" w:cs="Times New Roman"/>
        </w:rPr>
      </w:pPr>
    </w:p>
    <w:p w14:paraId="5711AE26" w14:textId="5C52BFB2" w:rsidR="0066607E" w:rsidRDefault="0066607E" w:rsidP="0066607E">
      <w:pPr>
        <w:spacing w:line="360" w:lineRule="auto"/>
        <w:jc w:val="both"/>
        <w:rPr>
          <w:rFonts w:ascii="Century Schoolbook" w:eastAsia="Times New Roman" w:hAnsi="Century Schoolbook" w:cs="Times New Roman"/>
        </w:rPr>
      </w:pPr>
    </w:p>
    <w:p w14:paraId="6D90EBF9" w14:textId="77777777" w:rsidR="0066607E" w:rsidRDefault="0066607E" w:rsidP="0066607E">
      <w:pPr>
        <w:spacing w:line="360" w:lineRule="auto"/>
        <w:jc w:val="both"/>
        <w:rPr>
          <w:rFonts w:ascii="Century Schoolbook" w:eastAsia="Times New Roman" w:hAnsi="Century Schoolbook" w:cs="Times New Roman"/>
        </w:rPr>
      </w:pPr>
    </w:p>
    <w:p w14:paraId="5EBA4252" w14:textId="77777777" w:rsidR="0066607E" w:rsidRPr="008740F8" w:rsidRDefault="0066607E" w:rsidP="00A72F93">
      <w:pPr>
        <w:spacing w:line="360" w:lineRule="auto"/>
        <w:jc w:val="both"/>
        <w:rPr>
          <w:rFonts w:ascii="Century Schoolbook" w:eastAsia="Times New Roman" w:hAnsi="Century Schoolbook" w:cs="Times New Roman"/>
        </w:rPr>
      </w:pPr>
    </w:p>
    <w:p w14:paraId="10C3A4C7" w14:textId="77777777" w:rsidR="00B66651" w:rsidRDefault="00C471BD"/>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C0F63" w14:textId="77777777" w:rsidR="00C471BD" w:rsidRDefault="00C471BD" w:rsidP="00A72F93">
      <w:r>
        <w:separator/>
      </w:r>
    </w:p>
  </w:endnote>
  <w:endnote w:type="continuationSeparator" w:id="0">
    <w:p w14:paraId="48EA0D9D" w14:textId="77777777" w:rsidR="00C471BD" w:rsidRDefault="00C471BD"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51CB8" w14:textId="77777777" w:rsidR="00C471BD" w:rsidRDefault="00C471BD" w:rsidP="00A72F93">
      <w:r>
        <w:separator/>
      </w:r>
    </w:p>
  </w:footnote>
  <w:footnote w:type="continuationSeparator" w:id="0">
    <w:p w14:paraId="1E3CD76C" w14:textId="77777777" w:rsidR="00C471BD" w:rsidRDefault="00C471BD" w:rsidP="00A72F93">
      <w:r>
        <w:continuationSeparator/>
      </w:r>
    </w:p>
  </w:footnote>
  <w:footnote w:id="1">
    <w:p w14:paraId="7E7534B0" w14:textId="77777777" w:rsidR="0066607E" w:rsidRPr="00A67825" w:rsidRDefault="0066607E" w:rsidP="0066607E">
      <w:pPr>
        <w:pStyle w:val="FootnoteText"/>
        <w:rPr>
          <w:rFonts w:ascii="Century Schoolbook" w:hAnsi="Century Schoolbook"/>
          <w:sz w:val="16"/>
        </w:rPr>
      </w:pPr>
      <w:r w:rsidRPr="00A67825">
        <w:rPr>
          <w:rStyle w:val="FootnoteReference"/>
          <w:rFonts w:ascii="Century Schoolbook" w:hAnsi="Century Schoolbook"/>
          <w:sz w:val="16"/>
        </w:rPr>
        <w:footnoteRef/>
      </w:r>
      <w:r w:rsidRPr="00A67825">
        <w:rPr>
          <w:rFonts w:ascii="Century Schoolbook" w:hAnsi="Century Schoolbook"/>
          <w:sz w:val="16"/>
        </w:rPr>
        <w:t xml:space="preserve"> </w:t>
      </w:r>
      <w:r w:rsidRPr="00A67825">
        <w:rPr>
          <w:rFonts w:ascii="Century Schoolbook" w:hAnsi="Century Schoolbook"/>
          <w:i/>
          <w:sz w:val="16"/>
        </w:rPr>
        <w:t>See, e.g.</w:t>
      </w:r>
      <w:r w:rsidRPr="00A67825">
        <w:rPr>
          <w:rFonts w:ascii="Century Schoolbook" w:hAnsi="Century Schoolbook"/>
          <w:sz w:val="16"/>
        </w:rPr>
        <w:t xml:space="preserve">, </w:t>
      </w:r>
      <w:proofErr w:type="spellStart"/>
      <w:r w:rsidRPr="00A67825">
        <w:rPr>
          <w:rFonts w:ascii="Century Schoolbook" w:hAnsi="Century Schoolbook"/>
          <w:sz w:val="16"/>
        </w:rPr>
        <w:t>Ronnuala</w:t>
      </w:r>
      <w:proofErr w:type="spellEnd"/>
      <w:r w:rsidRPr="00A67825">
        <w:rPr>
          <w:rFonts w:ascii="Century Schoolbook" w:hAnsi="Century Schoolbook"/>
          <w:sz w:val="16"/>
        </w:rPr>
        <w:t xml:space="preserve"> Darby-Hudgens, </w:t>
      </w:r>
      <w:r w:rsidRPr="00A67825">
        <w:rPr>
          <w:rFonts w:ascii="Century Schoolbook" w:hAnsi="Century Schoolbook"/>
          <w:i/>
          <w:sz w:val="16"/>
        </w:rPr>
        <w:t>Expanded Fair Rent Commissions</w:t>
      </w:r>
      <w:r w:rsidRPr="00A67825">
        <w:rPr>
          <w:rFonts w:ascii="Century Schoolbook" w:hAnsi="Century Schoolbook"/>
          <w:sz w:val="16"/>
        </w:rPr>
        <w:t xml:space="preserve">, </w:t>
      </w:r>
      <w:r w:rsidRPr="00A67825">
        <w:rPr>
          <w:rFonts w:ascii="Century Schoolbook" w:hAnsi="Century Schoolbook" w:cs="Times New Roman (Body CS)"/>
          <w:smallCaps/>
          <w:sz w:val="16"/>
        </w:rPr>
        <w:t>Conn. Fair Housing Ctr</w:t>
      </w:r>
      <w:r w:rsidRPr="00A67825">
        <w:rPr>
          <w:rFonts w:ascii="Century Schoolbook" w:hAnsi="Century Schoolbook"/>
          <w:sz w:val="16"/>
        </w:rPr>
        <w:t xml:space="preserve">. (Apr. 1, 2022), </w:t>
      </w:r>
      <w:hyperlink r:id="rId1" w:history="1">
        <w:r w:rsidRPr="00A67825">
          <w:rPr>
            <w:rStyle w:val="Hyperlink"/>
            <w:rFonts w:ascii="Century Schoolbook" w:hAnsi="Century Schoolbook"/>
            <w:sz w:val="16"/>
          </w:rPr>
          <w:t>https://www.ctfairhousing.org/expanded-fair-rent-commissions/</w:t>
        </w:r>
      </w:hyperlink>
      <w:r w:rsidRPr="00A67825">
        <w:rPr>
          <w:rFonts w:ascii="Century Schoolbook" w:hAnsi="Century Schoolbook"/>
          <w:sz w:val="16"/>
        </w:rPr>
        <w:t xml:space="preserve">. </w:t>
      </w:r>
    </w:p>
  </w:footnote>
  <w:footnote w:id="2">
    <w:p w14:paraId="71732DF5" w14:textId="77777777" w:rsidR="0066607E" w:rsidRPr="00A67825" w:rsidRDefault="0066607E" w:rsidP="0066607E">
      <w:pPr>
        <w:pStyle w:val="FootnoteText"/>
        <w:rPr>
          <w:rFonts w:ascii="Century Schoolbook" w:hAnsi="Century Schoolbook"/>
          <w:sz w:val="16"/>
        </w:rPr>
      </w:pPr>
      <w:r w:rsidRPr="00A67825">
        <w:rPr>
          <w:rStyle w:val="FootnoteReference"/>
          <w:rFonts w:ascii="Century Schoolbook" w:hAnsi="Century Schoolbook"/>
          <w:sz w:val="16"/>
        </w:rPr>
        <w:footnoteRef/>
      </w:r>
      <w:r w:rsidRPr="00A67825">
        <w:rPr>
          <w:rFonts w:ascii="Century Schoolbook" w:hAnsi="Century Schoolbook"/>
          <w:sz w:val="16"/>
        </w:rPr>
        <w:t xml:space="preserve"> </w:t>
      </w:r>
      <w:r w:rsidRPr="00A67825">
        <w:rPr>
          <w:rFonts w:ascii="Century Schoolbook" w:hAnsi="Century Schoolbook"/>
          <w:i/>
          <w:sz w:val="16"/>
        </w:rPr>
        <w:t>See, e.g.</w:t>
      </w:r>
      <w:r w:rsidRPr="00A67825">
        <w:rPr>
          <w:rFonts w:ascii="Century Schoolbook" w:hAnsi="Century Schoolbook"/>
          <w:sz w:val="16"/>
        </w:rPr>
        <w:t xml:space="preserve">, Tess Terrible &amp; Walter Smith Randolph, </w:t>
      </w:r>
      <w:r w:rsidRPr="00A67825">
        <w:rPr>
          <w:rFonts w:ascii="Century Schoolbook" w:hAnsi="Century Schoolbook"/>
          <w:i/>
          <w:sz w:val="16"/>
        </w:rPr>
        <w:t>No Fault Evictions Are on the Rise in Connecticut: Here’s Why</w:t>
      </w:r>
      <w:r w:rsidRPr="00A67825">
        <w:rPr>
          <w:rFonts w:ascii="Century Schoolbook" w:hAnsi="Century Schoolbook"/>
          <w:sz w:val="16"/>
        </w:rPr>
        <w:t xml:space="preserve">,  </w:t>
      </w:r>
      <w:r w:rsidRPr="00A67825">
        <w:rPr>
          <w:rFonts w:ascii="Century Schoolbook" w:hAnsi="Century Schoolbook" w:cs="Times New Roman (Body CS)"/>
          <w:smallCaps/>
          <w:sz w:val="16"/>
        </w:rPr>
        <w:t>CT Public</w:t>
      </w:r>
      <w:r w:rsidRPr="00A67825">
        <w:rPr>
          <w:rFonts w:ascii="Century Schoolbook" w:hAnsi="Century Schoolbook"/>
          <w:sz w:val="16"/>
        </w:rPr>
        <w:t xml:space="preserve"> (Apr. 15, 2022), </w:t>
      </w:r>
      <w:hyperlink r:id="rId2" w:history="1">
        <w:r w:rsidRPr="00A67825">
          <w:rPr>
            <w:rStyle w:val="Hyperlink"/>
            <w:rFonts w:ascii="Century Schoolbook" w:hAnsi="Century Schoolbook"/>
            <w:sz w:val="16"/>
          </w:rPr>
          <w:t>https://www.ctpublic.org/show/where-we-live/2022-04-15/no-fault-evictions-are-on-the-rise-in-connecticut-heres-why</w:t>
        </w:r>
      </w:hyperlink>
      <w:r w:rsidRPr="00A67825">
        <w:rPr>
          <w:rFonts w:ascii="Century Schoolbook" w:hAnsi="Century Schoolbook"/>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71788"/>
    <w:rsid w:val="0025735E"/>
    <w:rsid w:val="00282DFA"/>
    <w:rsid w:val="002F2775"/>
    <w:rsid w:val="00384766"/>
    <w:rsid w:val="003F7664"/>
    <w:rsid w:val="004E2FAD"/>
    <w:rsid w:val="00527DCB"/>
    <w:rsid w:val="0060319C"/>
    <w:rsid w:val="00623DD4"/>
    <w:rsid w:val="006279DA"/>
    <w:rsid w:val="00662B42"/>
    <w:rsid w:val="0066607E"/>
    <w:rsid w:val="00724368"/>
    <w:rsid w:val="00740843"/>
    <w:rsid w:val="007434EA"/>
    <w:rsid w:val="008A5AED"/>
    <w:rsid w:val="009856A4"/>
    <w:rsid w:val="00A656F0"/>
    <w:rsid w:val="00A72F93"/>
    <w:rsid w:val="00A74086"/>
    <w:rsid w:val="00B73992"/>
    <w:rsid w:val="00B75D0E"/>
    <w:rsid w:val="00C25F36"/>
    <w:rsid w:val="00C471BD"/>
    <w:rsid w:val="00C67079"/>
    <w:rsid w:val="00DA4660"/>
    <w:rsid w:val="00EB1CFD"/>
    <w:rsid w:val="00ED505C"/>
    <w:rsid w:val="00F70B92"/>
    <w:rsid w:val="00F92DF7"/>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styleId="FootnoteText">
    <w:name w:val="footnote text"/>
    <w:basedOn w:val="Normal"/>
    <w:link w:val="FootnoteTextChar"/>
    <w:uiPriority w:val="99"/>
    <w:semiHidden/>
    <w:unhideWhenUsed/>
    <w:rsid w:val="0066607E"/>
    <w:rPr>
      <w:sz w:val="20"/>
      <w:szCs w:val="20"/>
    </w:rPr>
  </w:style>
  <w:style w:type="character" w:customStyle="1" w:styleId="FootnoteTextChar">
    <w:name w:val="Footnote Text Char"/>
    <w:basedOn w:val="DefaultParagraphFont"/>
    <w:link w:val="FootnoteText"/>
    <w:uiPriority w:val="99"/>
    <w:semiHidden/>
    <w:rsid w:val="0066607E"/>
    <w:rPr>
      <w:rFonts w:asciiTheme="minorHAnsi" w:hAnsiTheme="minorHAnsi" w:cstheme="minorBidi"/>
      <w:sz w:val="20"/>
    </w:rPr>
  </w:style>
  <w:style w:type="character" w:styleId="FootnoteReference">
    <w:name w:val="footnote reference"/>
    <w:basedOn w:val="DefaultParagraphFont"/>
    <w:uiPriority w:val="99"/>
    <w:semiHidden/>
    <w:unhideWhenUsed/>
    <w:rsid w:val="006660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tpublic.org/show/where-we-live/2022-04-15/no-fault-evictions-are-on-the-rise-in-connecticut-heres-why" TargetMode="External"/><Relationship Id="rId1" Type="http://schemas.openxmlformats.org/officeDocument/2006/relationships/hyperlink" Target="https://www.ctfairhousing.org/expanded-fair-rent-com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3</cp:revision>
  <dcterms:created xsi:type="dcterms:W3CDTF">2025-02-18T18:31:00Z</dcterms:created>
  <dcterms:modified xsi:type="dcterms:W3CDTF">2025-02-18T18:35:00Z</dcterms:modified>
</cp:coreProperties>
</file>