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63458E" w14:textId="77777777" w:rsidR="00B75D0E" w:rsidRPr="00CE26AF" w:rsidRDefault="00B75D0E" w:rsidP="00B75D0E">
      <w:pPr>
        <w:jc w:val="right"/>
        <w:rPr>
          <w:rFonts w:ascii="Century Schoolbook" w:eastAsia="Times New Roman" w:hAnsi="Century Schoolbook" w:cs="Times New Roman"/>
          <w:color w:val="000000"/>
        </w:rPr>
      </w:pPr>
      <w:r w:rsidRPr="00CE26AF">
        <w:rPr>
          <w:rFonts w:ascii="Century Schoolbook" w:eastAsia="Times New Roman" w:hAnsi="Century Schoolbook" w:cs="Times New Roman"/>
          <w:noProof/>
          <w:color w:val="000000"/>
        </w:rPr>
        <w:drawing>
          <wp:anchor distT="0" distB="0" distL="114300" distR="114300" simplePos="0" relativeHeight="251659264" behindDoc="0" locked="0" layoutInCell="1" allowOverlap="1" wp14:anchorId="3C951307" wp14:editId="3E07B7E1">
            <wp:simplePos x="0" y="0"/>
            <wp:positionH relativeFrom="column">
              <wp:posOffset>-232347</wp:posOffset>
            </wp:positionH>
            <wp:positionV relativeFrom="paragraph">
              <wp:posOffset>-121292</wp:posOffset>
            </wp:positionV>
            <wp:extent cx="1818640" cy="1085215"/>
            <wp:effectExtent l="0" t="0" r="0" b="0"/>
            <wp:wrapNone/>
            <wp:docPr id="3" name="Picture 3" descr="https://lh3.googleusercontent.com/HWzpA2IvXaYmfLYYnXToFH34N22hhcmQCrrHdc8FmQ8gcg5alkMPqZ8QA6Mg2VAwyOwuNytS08AmOfm4hpSyC_x7as9TinrjFPdgBw35wXwMKx2ssDqAHGTiBORpOI2WjuiS5XeUubSLOvOz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3.googleusercontent.com/HWzpA2IvXaYmfLYYnXToFH34N22hhcmQCrrHdc8FmQ8gcg5alkMPqZ8QA6Mg2VAwyOwuNytS08AmOfm4hpSyC_x7as9TinrjFPdgBw35wXwMKx2ssDqAHGTiBORpOI2WjuiS5XeUubSLOvOzmg"/>
                    <pic:cNvPicPr>
                      <a:picLocks noChangeAspect="1" noChangeArrowheads="1"/>
                    </pic:cNvPicPr>
                  </pic:nvPicPr>
                  <pic:blipFill rotWithShape="1">
                    <a:blip r:embed="rId6">
                      <a:extLst>
                        <a:ext uri="{28A0092B-C50C-407E-A947-70E740481C1C}">
                          <a14:useLocalDpi xmlns:a14="http://schemas.microsoft.com/office/drawing/2010/main" val="0"/>
                        </a:ext>
                      </a:extLst>
                    </a:blip>
                    <a:srcRect b="32074"/>
                    <a:stretch/>
                  </pic:blipFill>
                  <pic:spPr bwMode="auto">
                    <a:xfrm>
                      <a:off x="0" y="0"/>
                      <a:ext cx="1818640" cy="1085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26AF">
        <w:rPr>
          <w:rFonts w:ascii="Century Schoolbook" w:eastAsia="Times New Roman" w:hAnsi="Century Schoolbook" w:cs="Times New Roman"/>
          <w:color w:val="000000"/>
        </w:rPr>
        <w:t>Legislative Testimony</w:t>
      </w:r>
    </w:p>
    <w:p w14:paraId="0B704802" w14:textId="77777777" w:rsidR="00B75D0E" w:rsidRDefault="00B75D0E" w:rsidP="00B75D0E">
      <w:pPr>
        <w:jc w:val="right"/>
        <w:rPr>
          <w:rStyle w:val="Hyperlink"/>
          <w:rFonts w:ascii="Century Schoolbook" w:eastAsia="Times New Roman" w:hAnsi="Century Schoolbook" w:cs="Times New Roman"/>
          <w:color w:val="auto"/>
          <w:u w:val="none"/>
        </w:rPr>
      </w:pPr>
      <w:r w:rsidRPr="00CE26AF">
        <w:rPr>
          <w:rFonts w:ascii="Century Schoolbook" w:eastAsia="Times New Roman" w:hAnsi="Century Schoolbook" w:cs="Times New Roman"/>
          <w:color w:val="000000"/>
        </w:rPr>
        <w:t xml:space="preserve">765 Asylum Avenue, </w:t>
      </w:r>
      <w:r>
        <w:rPr>
          <w:rFonts w:ascii="Century Schoolbook" w:eastAsia="Times New Roman" w:hAnsi="Century Schoolbook" w:cs="Times New Roman"/>
          <w:color w:val="000000"/>
        </w:rPr>
        <w:t>2nd</w:t>
      </w:r>
      <w:r w:rsidRPr="00CE26AF">
        <w:rPr>
          <w:rFonts w:ascii="Century Schoolbook" w:eastAsia="Times New Roman" w:hAnsi="Century Schoolbook" w:cs="Times New Roman"/>
          <w:color w:val="000000"/>
        </w:rPr>
        <w:t xml:space="preserve"> Floor</w:t>
      </w:r>
      <w:r w:rsidRPr="00CE26AF">
        <w:rPr>
          <w:rFonts w:ascii="Century Schoolbook" w:eastAsia="Times New Roman" w:hAnsi="Century Schoolbook" w:cs="Times New Roman"/>
          <w:color w:val="000000"/>
        </w:rPr>
        <w:br/>
        <w:t>Hartford, CT 06105</w:t>
      </w:r>
      <w:r w:rsidRPr="00CE26AF">
        <w:rPr>
          <w:rFonts w:ascii="Century Schoolbook" w:eastAsia="Times New Roman" w:hAnsi="Century Schoolbook" w:cs="Times New Roman"/>
          <w:color w:val="000000"/>
        </w:rPr>
        <w:br/>
        <w:t>860-523-9146</w:t>
      </w:r>
      <w:r w:rsidRPr="00CE26AF">
        <w:rPr>
          <w:rFonts w:ascii="Century Schoolbook" w:eastAsia="Times New Roman" w:hAnsi="Century Schoolbook" w:cs="Times New Roman"/>
          <w:color w:val="000000"/>
        </w:rPr>
        <w:br/>
      </w:r>
      <w:r w:rsidRPr="00CE26AF">
        <w:rPr>
          <w:rStyle w:val="Hyperlink"/>
          <w:rFonts w:ascii="Century Schoolbook" w:eastAsia="Times New Roman" w:hAnsi="Century Schoolbook" w:cs="Times New Roman"/>
          <w:color w:val="auto"/>
          <w:u w:val="none"/>
        </w:rPr>
        <w:t>www.acluct.org</w:t>
      </w:r>
    </w:p>
    <w:p w14:paraId="6D872C05" w14:textId="77777777" w:rsidR="00B75D0E" w:rsidRDefault="00B75D0E" w:rsidP="00B75D0E">
      <w:pPr>
        <w:jc w:val="center"/>
        <w:rPr>
          <w:rFonts w:ascii="Century Schoolbook" w:eastAsia="Times New Roman" w:hAnsi="Century Schoolbook" w:cs="Times New Roman"/>
          <w:b/>
        </w:rPr>
      </w:pPr>
    </w:p>
    <w:p w14:paraId="75B0BDF7" w14:textId="2799B065" w:rsidR="00B75D0E" w:rsidRDefault="00B75D0E" w:rsidP="00B75D0E">
      <w:pPr>
        <w:jc w:val="center"/>
        <w:rPr>
          <w:rFonts w:ascii="Century Schoolbook" w:eastAsia="Times New Roman" w:hAnsi="Century Schoolbook" w:cs="Times New Roman"/>
          <w:b/>
        </w:rPr>
      </w:pPr>
      <w:r>
        <w:rPr>
          <w:rFonts w:ascii="Century Schoolbook" w:eastAsia="Times New Roman" w:hAnsi="Century Schoolbook" w:cs="Times New Roman"/>
          <w:b/>
        </w:rPr>
        <w:t xml:space="preserve">Written Testimony </w:t>
      </w:r>
      <w:r w:rsidR="00ED3903">
        <w:rPr>
          <w:rFonts w:ascii="Century Schoolbook" w:eastAsia="Times New Roman" w:hAnsi="Century Schoolbook" w:cs="Times New Roman"/>
          <w:b/>
        </w:rPr>
        <w:t>Supporting Senate Bill 1266, An Act Requiring the Posting of Fair Rent Commission Bylaws, Senate Bill 1268, An Act Requiring All Fair Rent Commission Hearings Be Open to the Public, Senate Bill 1159, An Act Increasing Funding for Affordable Housing Development and Rental Assistance Programs and Expanding the Authority of Fair Rent Commissions</w:t>
      </w:r>
    </w:p>
    <w:p w14:paraId="18749A34" w14:textId="77777777" w:rsidR="00B75D0E" w:rsidRDefault="00B75D0E" w:rsidP="00B75D0E">
      <w:pPr>
        <w:rPr>
          <w:rFonts w:ascii="Century Schoolbook" w:eastAsia="Times New Roman" w:hAnsi="Century Schoolbook" w:cs="Times New Roman"/>
          <w:b/>
        </w:rPr>
      </w:pPr>
    </w:p>
    <w:p w14:paraId="4C4C7EE7" w14:textId="007C8F9A" w:rsidR="00B75D0E" w:rsidRDefault="00B75D0E" w:rsidP="00A72F93">
      <w:pPr>
        <w:spacing w:line="360" w:lineRule="auto"/>
        <w:jc w:val="both"/>
        <w:rPr>
          <w:rFonts w:ascii="Century Schoolbook" w:eastAsia="Times New Roman" w:hAnsi="Century Schoolbook" w:cs="Times New Roman"/>
        </w:rPr>
      </w:pPr>
      <w:r>
        <w:rPr>
          <w:rFonts w:ascii="Century Schoolbook" w:eastAsia="Times New Roman" w:hAnsi="Century Schoolbook" w:cs="Times New Roman"/>
        </w:rPr>
        <w:t xml:space="preserve">Senator </w:t>
      </w:r>
      <w:r w:rsidR="00DA4660">
        <w:rPr>
          <w:rFonts w:ascii="Century Schoolbook" w:eastAsia="Times New Roman" w:hAnsi="Century Schoolbook" w:cs="Times New Roman"/>
        </w:rPr>
        <w:t>Marx</w:t>
      </w:r>
      <w:r>
        <w:rPr>
          <w:rFonts w:ascii="Century Schoolbook" w:eastAsia="Times New Roman" w:hAnsi="Century Schoolbook" w:cs="Times New Roman"/>
        </w:rPr>
        <w:t xml:space="preserve">, Representative </w:t>
      </w:r>
      <w:r w:rsidR="00DA4660">
        <w:rPr>
          <w:rFonts w:ascii="Century Schoolbook" w:eastAsia="Times New Roman" w:hAnsi="Century Schoolbook" w:cs="Times New Roman"/>
        </w:rPr>
        <w:t>Felipe</w:t>
      </w:r>
      <w:r>
        <w:rPr>
          <w:rFonts w:ascii="Century Schoolbook" w:eastAsia="Times New Roman" w:hAnsi="Century Schoolbook" w:cs="Times New Roman"/>
        </w:rPr>
        <w:t xml:space="preserve">, Ranking Members </w:t>
      </w:r>
      <w:r w:rsidR="00DA4660">
        <w:rPr>
          <w:rFonts w:ascii="Century Schoolbook" w:eastAsia="Times New Roman" w:hAnsi="Century Schoolbook" w:cs="Times New Roman"/>
        </w:rPr>
        <w:t>Sampson</w:t>
      </w:r>
      <w:r>
        <w:rPr>
          <w:rFonts w:ascii="Century Schoolbook" w:eastAsia="Times New Roman" w:hAnsi="Century Schoolbook" w:cs="Times New Roman"/>
        </w:rPr>
        <w:t xml:space="preserve"> and </w:t>
      </w:r>
      <w:r w:rsidR="00DA4660">
        <w:rPr>
          <w:rFonts w:ascii="Century Schoolbook" w:eastAsia="Times New Roman" w:hAnsi="Century Schoolbook" w:cs="Times New Roman"/>
        </w:rPr>
        <w:t>Scott</w:t>
      </w:r>
      <w:r>
        <w:rPr>
          <w:rFonts w:ascii="Century Schoolbook" w:eastAsia="Times New Roman" w:hAnsi="Century Schoolbook" w:cs="Times New Roman"/>
        </w:rPr>
        <w:t xml:space="preserve">, and members of the </w:t>
      </w:r>
      <w:r w:rsidR="00527DCB">
        <w:rPr>
          <w:rFonts w:ascii="Century Schoolbook" w:eastAsia="Times New Roman" w:hAnsi="Century Schoolbook" w:cs="Times New Roman"/>
        </w:rPr>
        <w:t>H</w:t>
      </w:r>
      <w:r w:rsidR="00DA4660">
        <w:rPr>
          <w:rFonts w:ascii="Century Schoolbook" w:eastAsia="Times New Roman" w:hAnsi="Century Schoolbook" w:cs="Times New Roman"/>
        </w:rPr>
        <w:t>ousing</w:t>
      </w:r>
      <w:r>
        <w:rPr>
          <w:rFonts w:ascii="Century Schoolbook" w:eastAsia="Times New Roman" w:hAnsi="Century Schoolbook" w:cs="Times New Roman"/>
        </w:rPr>
        <w:t xml:space="preserve"> Committee:</w:t>
      </w:r>
    </w:p>
    <w:p w14:paraId="2DAD3EBC" w14:textId="77777777" w:rsidR="00B75D0E" w:rsidRDefault="00B75D0E" w:rsidP="00A72F93">
      <w:pPr>
        <w:spacing w:line="360" w:lineRule="auto"/>
        <w:jc w:val="both"/>
        <w:rPr>
          <w:rFonts w:ascii="Century Schoolbook" w:eastAsia="Times New Roman" w:hAnsi="Century Schoolbook" w:cs="Times New Roman"/>
        </w:rPr>
      </w:pPr>
    </w:p>
    <w:p w14:paraId="6A4C6B77" w14:textId="3CA8E064" w:rsidR="00B75D0E" w:rsidRDefault="00B75D0E" w:rsidP="00A72F93">
      <w:pPr>
        <w:spacing w:line="360" w:lineRule="auto"/>
        <w:jc w:val="both"/>
        <w:rPr>
          <w:rFonts w:ascii="Century Schoolbook" w:eastAsia="Times New Roman" w:hAnsi="Century Schoolbook" w:cs="Times New Roman"/>
        </w:rPr>
      </w:pPr>
      <w:r>
        <w:rPr>
          <w:rFonts w:ascii="Century Schoolbook" w:eastAsia="Times New Roman" w:hAnsi="Century Schoolbook" w:cs="Times New Roman"/>
        </w:rPr>
        <w:t xml:space="preserve">My name is </w:t>
      </w:r>
      <w:r w:rsidRPr="008740F8">
        <w:rPr>
          <w:rFonts w:ascii="Century Schoolbook" w:eastAsia="Times New Roman" w:hAnsi="Century Schoolbook" w:cs="Times New Roman"/>
        </w:rPr>
        <w:t>Jess Zaccagnino</w:t>
      </w:r>
      <w:r>
        <w:rPr>
          <w:rFonts w:ascii="Century Schoolbook" w:eastAsia="Times New Roman" w:hAnsi="Century Schoolbook" w:cs="Times New Roman"/>
        </w:rPr>
        <w:t>, and I am the policy counsel of the American Civil Liberties Union of Connecticut (ACLU-CT). I am writing to testify</w:t>
      </w:r>
      <w:r w:rsidR="00A72F93">
        <w:rPr>
          <w:rFonts w:ascii="Century Schoolbook" w:eastAsia="Times New Roman" w:hAnsi="Century Schoolbook" w:cs="Times New Roman"/>
        </w:rPr>
        <w:t xml:space="preserve"> in</w:t>
      </w:r>
      <w:r w:rsidR="00ED3903">
        <w:rPr>
          <w:rFonts w:ascii="Century Schoolbook" w:eastAsia="Times New Roman" w:hAnsi="Century Schoolbook" w:cs="Times New Roman"/>
        </w:rPr>
        <w:t xml:space="preserve"> support of </w:t>
      </w:r>
      <w:r w:rsidR="00ED3903" w:rsidRPr="00ED3903">
        <w:rPr>
          <w:rFonts w:ascii="Century Schoolbook" w:eastAsia="Times New Roman" w:hAnsi="Century Schoolbook" w:cs="Times New Roman"/>
        </w:rPr>
        <w:t>Senate Bill 1266, An Act Requiring the Posting of Fair Rent Commission Bylaws, Senate Bill 1268, An Act Requiring All Fair Rent Commission Hearings Be Open to the Public, House Bill 1159, An Act Increasing Funding for Affordable Housing Development and Rental Assistance Programs and Expanding the Authority of Fair Rent Commissions</w:t>
      </w:r>
      <w:r w:rsidR="00ED3903" w:rsidRPr="00ED3903">
        <w:rPr>
          <w:rFonts w:ascii="Century Schoolbook" w:eastAsia="Times New Roman" w:hAnsi="Century Schoolbook" w:cs="Times New Roman"/>
        </w:rPr>
        <w:t>.</w:t>
      </w:r>
    </w:p>
    <w:p w14:paraId="35B53B7D" w14:textId="04B7F81D" w:rsidR="00ED3903" w:rsidRDefault="00ED3903" w:rsidP="00A72F93">
      <w:pPr>
        <w:spacing w:line="360" w:lineRule="auto"/>
        <w:jc w:val="both"/>
        <w:rPr>
          <w:rFonts w:ascii="Century Schoolbook" w:eastAsia="Times New Roman" w:hAnsi="Century Schoolbook" w:cs="Times New Roman"/>
        </w:rPr>
      </w:pPr>
    </w:p>
    <w:p w14:paraId="05206763" w14:textId="77777777" w:rsidR="00ED3903" w:rsidRDefault="00ED3903" w:rsidP="00ED3903">
      <w:pPr>
        <w:spacing w:line="360" w:lineRule="auto"/>
        <w:jc w:val="both"/>
        <w:rPr>
          <w:rFonts w:ascii="Century Schoolbook" w:eastAsia="Times New Roman" w:hAnsi="Century Schoolbook" w:cs="Times New Roman"/>
        </w:rPr>
      </w:pPr>
      <w:r>
        <w:rPr>
          <w:rFonts w:ascii="Century Schoolbook" w:eastAsia="Times New Roman" w:hAnsi="Century Schoolbook" w:cs="Times New Roman"/>
        </w:rPr>
        <w:t>The ACLU-CT believes in a society where all people, including those who have been convicted or accused of a crime, have equal opportunity to contribute to their communities and build successful and fulfilling lives. Everybody needs a safe, sanitary, and stable place to live, which builds prosperous communities. But especially since the pandemic, rent has skyrocketed across the country and across the state, increasing by 20 percent on average over the last two years.</w:t>
      </w:r>
      <w:r>
        <w:rPr>
          <w:rStyle w:val="FootnoteReference"/>
          <w:rFonts w:ascii="Century Schoolbook" w:eastAsia="Times New Roman" w:hAnsi="Century Schoolbook" w:cs="Times New Roman"/>
        </w:rPr>
        <w:footnoteReference w:id="1"/>
      </w:r>
      <w:r>
        <w:rPr>
          <w:rFonts w:ascii="Century Schoolbook" w:eastAsia="Times New Roman" w:hAnsi="Century Schoolbook" w:cs="Times New Roman"/>
        </w:rPr>
        <w:t xml:space="preserve"> At the same time, wages have not kept up with inflation, and the frequency of no-fault evictions has </w:t>
      </w:r>
      <w:r>
        <w:rPr>
          <w:rFonts w:ascii="Century Schoolbook" w:eastAsia="Times New Roman" w:hAnsi="Century Schoolbook" w:cs="Times New Roman"/>
        </w:rPr>
        <w:lastRenderedPageBreak/>
        <w:t>also increased, meaning that tenants are losing their homes even when a landlord did not claim they did anything wrong.</w:t>
      </w:r>
      <w:r>
        <w:rPr>
          <w:rStyle w:val="FootnoteReference"/>
          <w:rFonts w:ascii="Century Schoolbook" w:eastAsia="Times New Roman" w:hAnsi="Century Schoolbook" w:cs="Times New Roman"/>
        </w:rPr>
        <w:footnoteReference w:id="2"/>
      </w:r>
    </w:p>
    <w:p w14:paraId="472AE1A2" w14:textId="77777777" w:rsidR="00ED3903" w:rsidRDefault="00ED3903" w:rsidP="00ED3903">
      <w:pPr>
        <w:spacing w:line="360" w:lineRule="auto"/>
        <w:jc w:val="both"/>
        <w:rPr>
          <w:rFonts w:ascii="Century Schoolbook" w:eastAsia="Times New Roman" w:hAnsi="Century Schoolbook" w:cs="Times New Roman"/>
        </w:rPr>
      </w:pPr>
    </w:p>
    <w:p w14:paraId="531EE52F" w14:textId="77777777" w:rsidR="00ED3903" w:rsidRDefault="00ED3903" w:rsidP="00ED3903">
      <w:pPr>
        <w:spacing w:line="360" w:lineRule="auto"/>
        <w:jc w:val="both"/>
        <w:rPr>
          <w:rFonts w:ascii="Century Schoolbook" w:eastAsia="Times New Roman" w:hAnsi="Century Schoolbook" w:cs="Times New Roman"/>
        </w:rPr>
      </w:pPr>
      <w:r>
        <w:rPr>
          <w:rFonts w:ascii="Century Schoolbook" w:eastAsia="Times New Roman" w:hAnsi="Century Schoolbook" w:cs="Times New Roman"/>
        </w:rPr>
        <w:t xml:space="preserve">People in Connecticut cannot have a future here if they cannot afford a place to live. When housing becomes unaffordable, there are cascading effects—like displacement from beloved homes, neighborhoods, and schools. When working people can afford to pay their rent, they can take better care of their families. Rent hikes and no-fault evictions are displacing people from their homes and communities, fueling gentrification, and increasing evictions and homelessness, which, because of systemic racism, disproportionately harms Black and brown working-class renters and immigrants. </w:t>
      </w:r>
    </w:p>
    <w:p w14:paraId="20B631E0" w14:textId="31E11BB8" w:rsidR="00ED3903" w:rsidRDefault="00ED3903" w:rsidP="00A72F93">
      <w:pPr>
        <w:spacing w:line="360" w:lineRule="auto"/>
        <w:jc w:val="both"/>
        <w:rPr>
          <w:rFonts w:ascii="Century Schoolbook" w:eastAsia="Times New Roman" w:hAnsi="Century Schoolbook" w:cs="Times New Roman"/>
        </w:rPr>
      </w:pPr>
    </w:p>
    <w:p w14:paraId="23F120C9" w14:textId="636A4050" w:rsidR="00ED3903" w:rsidRPr="008740F8" w:rsidRDefault="00ED3903" w:rsidP="00A72F93">
      <w:pPr>
        <w:spacing w:line="360" w:lineRule="auto"/>
        <w:jc w:val="both"/>
        <w:rPr>
          <w:rFonts w:ascii="Century Schoolbook" w:eastAsia="Times New Roman" w:hAnsi="Century Schoolbook" w:cs="Times New Roman"/>
        </w:rPr>
      </w:pPr>
      <w:r>
        <w:rPr>
          <w:rFonts w:ascii="Century Schoolbook" w:eastAsia="Times New Roman" w:hAnsi="Century Schoolbook" w:cs="Times New Roman"/>
        </w:rPr>
        <w:t>Fair rent commissions are volunteer boards at the municipal level with powers to stop unconscionable rent increases, to set phase-in rent increases, and to delay a rent increase until housing code violations are fixed. Fair rent commissions are often the only avenue for people to challenge significant rent increases, but these commissions are completely unavailable to renters in 145 towns with populations under 25,000 people.</w:t>
      </w:r>
      <w:r>
        <w:rPr>
          <w:rFonts w:ascii="Century Schoolbook" w:eastAsia="Times New Roman" w:hAnsi="Century Schoolbook" w:cs="Times New Roman"/>
        </w:rPr>
        <w:t xml:space="preserve"> The ACLU-CT supports bills that expand the scope, authority, and accessibility of fair rent commissions in this state. Senate Bill 1159 would give fair rent commissions the authority to monitor rent increases and enforce fair housing practices, including citing landlords for violations of lease agreements and fair housing practices. Senate Bills 1266 and 1268 increase the transparency and accessibility of fair rent commissions by requiring their bylaws to be posted and that their hearings be open to the public. We have a long way to go to make Connecticut a truly affordable place to live, but these bills are good initial steps to strengthening our fair rent commissions. As such, the ACLU-CT supports these bills and urges this Committee to do the same.</w:t>
      </w:r>
    </w:p>
    <w:p w14:paraId="10C3A4C7" w14:textId="77777777" w:rsidR="00B66651" w:rsidRDefault="00874947"/>
    <w:sectPr w:rsidR="00B66651" w:rsidSect="00384766">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9DC512" w14:textId="77777777" w:rsidR="00874947" w:rsidRDefault="00874947" w:rsidP="00A72F93">
      <w:r>
        <w:separator/>
      </w:r>
    </w:p>
  </w:endnote>
  <w:endnote w:type="continuationSeparator" w:id="0">
    <w:p w14:paraId="14580734" w14:textId="77777777" w:rsidR="00874947" w:rsidRDefault="00874947" w:rsidP="00A72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imes New Roman (Body CS)">
    <w:altName w:val="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81591987"/>
      <w:docPartObj>
        <w:docPartGallery w:val="Page Numbers (Bottom of Page)"/>
        <w:docPartUnique/>
      </w:docPartObj>
    </w:sdtPr>
    <w:sdtEndPr>
      <w:rPr>
        <w:rStyle w:val="PageNumber"/>
      </w:rPr>
    </w:sdtEndPr>
    <w:sdtContent>
      <w:p w14:paraId="0A03008F" w14:textId="18F27939" w:rsidR="00A72F93" w:rsidRDefault="00A72F93" w:rsidP="00A72F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2726A9" w14:textId="77777777" w:rsidR="00A72F93" w:rsidRDefault="00A72F93" w:rsidP="00A72F9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05245683"/>
      <w:docPartObj>
        <w:docPartGallery w:val="Page Numbers (Bottom of Page)"/>
        <w:docPartUnique/>
      </w:docPartObj>
    </w:sdtPr>
    <w:sdtEndPr>
      <w:rPr>
        <w:rStyle w:val="PageNumber"/>
        <w:rFonts w:ascii="Century Schoolbook" w:hAnsi="Century Schoolbook"/>
      </w:rPr>
    </w:sdtEndPr>
    <w:sdtContent>
      <w:p w14:paraId="04C6151D" w14:textId="3988E9C5" w:rsidR="00A72F93" w:rsidRDefault="00A72F93" w:rsidP="00957706">
        <w:pPr>
          <w:pStyle w:val="Footer"/>
          <w:framePr w:wrap="none" w:vAnchor="text" w:hAnchor="margin" w:xAlign="right" w:y="1"/>
          <w:rPr>
            <w:rStyle w:val="PageNumber"/>
          </w:rPr>
        </w:pPr>
        <w:r w:rsidRPr="00A72F93">
          <w:rPr>
            <w:rStyle w:val="PageNumber"/>
            <w:rFonts w:ascii="Century Schoolbook" w:hAnsi="Century Schoolbook"/>
          </w:rPr>
          <w:fldChar w:fldCharType="begin"/>
        </w:r>
        <w:r w:rsidRPr="00A72F93">
          <w:rPr>
            <w:rStyle w:val="PageNumber"/>
            <w:rFonts w:ascii="Century Schoolbook" w:hAnsi="Century Schoolbook"/>
          </w:rPr>
          <w:instrText xml:space="preserve"> PAGE </w:instrText>
        </w:r>
        <w:r w:rsidRPr="00A72F93">
          <w:rPr>
            <w:rStyle w:val="PageNumber"/>
            <w:rFonts w:ascii="Century Schoolbook" w:hAnsi="Century Schoolbook"/>
          </w:rPr>
          <w:fldChar w:fldCharType="separate"/>
        </w:r>
        <w:r w:rsidRPr="00A72F93">
          <w:rPr>
            <w:rStyle w:val="PageNumber"/>
            <w:rFonts w:ascii="Century Schoolbook" w:hAnsi="Century Schoolbook"/>
            <w:noProof/>
          </w:rPr>
          <w:t>1</w:t>
        </w:r>
        <w:r w:rsidRPr="00A72F93">
          <w:rPr>
            <w:rStyle w:val="PageNumber"/>
            <w:rFonts w:ascii="Century Schoolbook" w:hAnsi="Century Schoolbook"/>
          </w:rPr>
          <w:fldChar w:fldCharType="end"/>
        </w:r>
      </w:p>
    </w:sdtContent>
  </w:sdt>
  <w:p w14:paraId="6BFBE3E1" w14:textId="5873F505" w:rsidR="00A72F93" w:rsidRDefault="00A72F93" w:rsidP="00A72F93">
    <w:pPr>
      <w:pStyle w:val="Footer"/>
      <w:framePr w:wrap="none" w:vAnchor="text" w:hAnchor="margin" w:xAlign="center" w:y="1"/>
      <w:ind w:right="360"/>
      <w:rPr>
        <w:rStyle w:val="PageNumber"/>
      </w:rPr>
    </w:pPr>
  </w:p>
  <w:p w14:paraId="1BCB9410" w14:textId="77777777" w:rsidR="00A72F93" w:rsidRDefault="00A72F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1A76B2" w14:textId="77777777" w:rsidR="00874947" w:rsidRDefault="00874947" w:rsidP="00A72F93">
      <w:r>
        <w:separator/>
      </w:r>
    </w:p>
  </w:footnote>
  <w:footnote w:type="continuationSeparator" w:id="0">
    <w:p w14:paraId="60356D4A" w14:textId="77777777" w:rsidR="00874947" w:rsidRDefault="00874947" w:rsidP="00A72F93">
      <w:r>
        <w:continuationSeparator/>
      </w:r>
    </w:p>
  </w:footnote>
  <w:footnote w:id="1">
    <w:p w14:paraId="634B140A" w14:textId="77777777" w:rsidR="00ED3903" w:rsidRPr="00A67825" w:rsidRDefault="00ED3903" w:rsidP="00ED3903">
      <w:pPr>
        <w:pStyle w:val="FootnoteText"/>
        <w:rPr>
          <w:rFonts w:ascii="Century Schoolbook" w:hAnsi="Century Schoolbook"/>
          <w:sz w:val="16"/>
        </w:rPr>
      </w:pPr>
      <w:r w:rsidRPr="00A67825">
        <w:rPr>
          <w:rStyle w:val="FootnoteReference"/>
          <w:rFonts w:ascii="Century Schoolbook" w:hAnsi="Century Schoolbook"/>
          <w:sz w:val="16"/>
        </w:rPr>
        <w:footnoteRef/>
      </w:r>
      <w:r w:rsidRPr="00A67825">
        <w:rPr>
          <w:rFonts w:ascii="Century Schoolbook" w:hAnsi="Century Schoolbook"/>
          <w:sz w:val="16"/>
        </w:rPr>
        <w:t xml:space="preserve"> </w:t>
      </w:r>
      <w:r w:rsidRPr="00A67825">
        <w:rPr>
          <w:rFonts w:ascii="Century Schoolbook" w:hAnsi="Century Schoolbook"/>
          <w:i/>
          <w:sz w:val="16"/>
        </w:rPr>
        <w:t>See, e.g.</w:t>
      </w:r>
      <w:r w:rsidRPr="00A67825">
        <w:rPr>
          <w:rFonts w:ascii="Century Schoolbook" w:hAnsi="Century Schoolbook"/>
          <w:sz w:val="16"/>
        </w:rPr>
        <w:t xml:space="preserve">, </w:t>
      </w:r>
      <w:proofErr w:type="spellStart"/>
      <w:r w:rsidRPr="00A67825">
        <w:rPr>
          <w:rFonts w:ascii="Century Schoolbook" w:hAnsi="Century Schoolbook"/>
          <w:sz w:val="16"/>
        </w:rPr>
        <w:t>Ronnuala</w:t>
      </w:r>
      <w:proofErr w:type="spellEnd"/>
      <w:r w:rsidRPr="00A67825">
        <w:rPr>
          <w:rFonts w:ascii="Century Schoolbook" w:hAnsi="Century Schoolbook"/>
          <w:sz w:val="16"/>
        </w:rPr>
        <w:t xml:space="preserve"> Darby-Hudgens, </w:t>
      </w:r>
      <w:r w:rsidRPr="00A67825">
        <w:rPr>
          <w:rFonts w:ascii="Century Schoolbook" w:hAnsi="Century Schoolbook"/>
          <w:i/>
          <w:sz w:val="16"/>
        </w:rPr>
        <w:t>Expanded Fair Rent Commissions</w:t>
      </w:r>
      <w:r w:rsidRPr="00A67825">
        <w:rPr>
          <w:rFonts w:ascii="Century Schoolbook" w:hAnsi="Century Schoolbook"/>
          <w:sz w:val="16"/>
        </w:rPr>
        <w:t xml:space="preserve">, </w:t>
      </w:r>
      <w:r w:rsidRPr="00A67825">
        <w:rPr>
          <w:rFonts w:ascii="Century Schoolbook" w:hAnsi="Century Schoolbook" w:cs="Times New Roman (Body CS)"/>
          <w:smallCaps/>
          <w:sz w:val="16"/>
        </w:rPr>
        <w:t>Conn. Fair Housing Ctr</w:t>
      </w:r>
      <w:r w:rsidRPr="00A67825">
        <w:rPr>
          <w:rFonts w:ascii="Century Schoolbook" w:hAnsi="Century Schoolbook"/>
          <w:sz w:val="16"/>
        </w:rPr>
        <w:t xml:space="preserve">. (Apr. 1, 2022), </w:t>
      </w:r>
      <w:hyperlink r:id="rId1" w:history="1">
        <w:r w:rsidRPr="00A67825">
          <w:rPr>
            <w:rStyle w:val="Hyperlink"/>
            <w:rFonts w:ascii="Century Schoolbook" w:hAnsi="Century Schoolbook"/>
            <w:sz w:val="16"/>
          </w:rPr>
          <w:t>https://www.ctfairhousing.org/expanded-fair-rent-commissions/</w:t>
        </w:r>
      </w:hyperlink>
      <w:r w:rsidRPr="00A67825">
        <w:rPr>
          <w:rFonts w:ascii="Century Schoolbook" w:hAnsi="Century Schoolbook"/>
          <w:sz w:val="16"/>
        </w:rPr>
        <w:t xml:space="preserve">. </w:t>
      </w:r>
    </w:p>
  </w:footnote>
  <w:footnote w:id="2">
    <w:p w14:paraId="524CA6E9" w14:textId="77777777" w:rsidR="00ED3903" w:rsidRPr="00A67825" w:rsidRDefault="00ED3903" w:rsidP="00ED3903">
      <w:pPr>
        <w:pStyle w:val="FootnoteText"/>
        <w:rPr>
          <w:rFonts w:ascii="Century Schoolbook" w:hAnsi="Century Schoolbook"/>
          <w:sz w:val="16"/>
        </w:rPr>
      </w:pPr>
      <w:r w:rsidRPr="00A67825">
        <w:rPr>
          <w:rStyle w:val="FootnoteReference"/>
          <w:rFonts w:ascii="Century Schoolbook" w:hAnsi="Century Schoolbook"/>
          <w:sz w:val="16"/>
        </w:rPr>
        <w:footnoteRef/>
      </w:r>
      <w:r w:rsidRPr="00A67825">
        <w:rPr>
          <w:rFonts w:ascii="Century Schoolbook" w:hAnsi="Century Schoolbook"/>
          <w:sz w:val="16"/>
        </w:rPr>
        <w:t xml:space="preserve"> </w:t>
      </w:r>
      <w:r w:rsidRPr="00A67825">
        <w:rPr>
          <w:rFonts w:ascii="Century Schoolbook" w:hAnsi="Century Schoolbook"/>
          <w:i/>
          <w:sz w:val="16"/>
        </w:rPr>
        <w:t>See, e.g.</w:t>
      </w:r>
      <w:r w:rsidRPr="00A67825">
        <w:rPr>
          <w:rFonts w:ascii="Century Schoolbook" w:hAnsi="Century Schoolbook"/>
          <w:sz w:val="16"/>
        </w:rPr>
        <w:t xml:space="preserve">, Tess Terrible &amp; Walter Smith Randolph, </w:t>
      </w:r>
      <w:r w:rsidRPr="00A67825">
        <w:rPr>
          <w:rFonts w:ascii="Century Schoolbook" w:hAnsi="Century Schoolbook"/>
          <w:i/>
          <w:sz w:val="16"/>
        </w:rPr>
        <w:t>No Fault Evictions Are on the Rise in Connecticut: Here’s Why</w:t>
      </w:r>
      <w:r w:rsidRPr="00A67825">
        <w:rPr>
          <w:rFonts w:ascii="Century Schoolbook" w:hAnsi="Century Schoolbook"/>
          <w:sz w:val="16"/>
        </w:rPr>
        <w:t xml:space="preserve">,  </w:t>
      </w:r>
      <w:r w:rsidRPr="00A67825">
        <w:rPr>
          <w:rFonts w:ascii="Century Schoolbook" w:hAnsi="Century Schoolbook" w:cs="Times New Roman (Body CS)"/>
          <w:smallCaps/>
          <w:sz w:val="16"/>
        </w:rPr>
        <w:t>CT Public</w:t>
      </w:r>
      <w:r w:rsidRPr="00A67825">
        <w:rPr>
          <w:rFonts w:ascii="Century Schoolbook" w:hAnsi="Century Schoolbook"/>
          <w:sz w:val="16"/>
        </w:rPr>
        <w:t xml:space="preserve"> (Apr. 15, 2022), </w:t>
      </w:r>
      <w:hyperlink r:id="rId2" w:history="1">
        <w:r w:rsidRPr="00A67825">
          <w:rPr>
            <w:rStyle w:val="Hyperlink"/>
            <w:rFonts w:ascii="Century Schoolbook" w:hAnsi="Century Schoolbook"/>
            <w:sz w:val="16"/>
          </w:rPr>
          <w:t>https://www.ctpublic.org/show/where-we-live/2022-04-</w:t>
        </w:r>
        <w:bookmarkStart w:id="0" w:name="_GoBack"/>
        <w:bookmarkEnd w:id="0"/>
        <w:r w:rsidRPr="00A67825">
          <w:rPr>
            <w:rStyle w:val="Hyperlink"/>
            <w:rFonts w:ascii="Century Schoolbook" w:hAnsi="Century Schoolbook"/>
            <w:sz w:val="16"/>
          </w:rPr>
          <w:t>1</w:t>
        </w:r>
        <w:r w:rsidRPr="00A67825">
          <w:rPr>
            <w:rStyle w:val="Hyperlink"/>
            <w:rFonts w:ascii="Century Schoolbook" w:hAnsi="Century Schoolbook"/>
            <w:sz w:val="16"/>
          </w:rPr>
          <w:t>5/no-fault-evictions-are-on-the-rise-in-connecticut-heres-why</w:t>
        </w:r>
      </w:hyperlink>
      <w:r w:rsidRPr="00A67825">
        <w:rPr>
          <w:rFonts w:ascii="Century Schoolbook" w:hAnsi="Century Schoolbook"/>
          <w:sz w:val="16"/>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D0E"/>
    <w:rsid w:val="00071788"/>
    <w:rsid w:val="0025735E"/>
    <w:rsid w:val="00282DFA"/>
    <w:rsid w:val="002F2775"/>
    <w:rsid w:val="00384766"/>
    <w:rsid w:val="003F7664"/>
    <w:rsid w:val="004E2FAD"/>
    <w:rsid w:val="00527DCB"/>
    <w:rsid w:val="00623DD4"/>
    <w:rsid w:val="006279DA"/>
    <w:rsid w:val="00662B42"/>
    <w:rsid w:val="00694907"/>
    <w:rsid w:val="00724368"/>
    <w:rsid w:val="00740843"/>
    <w:rsid w:val="007434EA"/>
    <w:rsid w:val="00874947"/>
    <w:rsid w:val="008A5AED"/>
    <w:rsid w:val="00A656F0"/>
    <w:rsid w:val="00A72F93"/>
    <w:rsid w:val="00A74086"/>
    <w:rsid w:val="00B73992"/>
    <w:rsid w:val="00B75D0E"/>
    <w:rsid w:val="00C67079"/>
    <w:rsid w:val="00DA4660"/>
    <w:rsid w:val="00EB1CFD"/>
    <w:rsid w:val="00ED3903"/>
    <w:rsid w:val="00ED505C"/>
    <w:rsid w:val="00F70B92"/>
    <w:rsid w:val="00F92DF7"/>
    <w:rsid w:val="00FA4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C37233"/>
  <w14:defaultImageDpi w14:val="32767"/>
  <w15:chartTrackingRefBased/>
  <w15:docId w15:val="{0418A383-571A-9947-87DC-10B575EBA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Schoolbook" w:eastAsiaTheme="minorHAnsi" w:hAnsi="Century Schoolbook" w:cs="Arial"/>
        <w:sz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75D0E"/>
    <w:rPr>
      <w:rFonts w:asciiTheme="minorHAnsi" w:hAnsiTheme="minorHAnsi" w:cstheme="min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5D0E"/>
    <w:rPr>
      <w:color w:val="0563C1" w:themeColor="hyperlink"/>
      <w:u w:val="single"/>
    </w:rPr>
  </w:style>
  <w:style w:type="paragraph" w:styleId="Footer">
    <w:name w:val="footer"/>
    <w:basedOn w:val="Normal"/>
    <w:link w:val="FooterChar"/>
    <w:uiPriority w:val="99"/>
    <w:unhideWhenUsed/>
    <w:rsid w:val="00A72F93"/>
    <w:pPr>
      <w:tabs>
        <w:tab w:val="center" w:pos="4680"/>
        <w:tab w:val="right" w:pos="9360"/>
      </w:tabs>
    </w:pPr>
  </w:style>
  <w:style w:type="character" w:customStyle="1" w:styleId="FooterChar">
    <w:name w:val="Footer Char"/>
    <w:basedOn w:val="DefaultParagraphFont"/>
    <w:link w:val="Footer"/>
    <w:uiPriority w:val="99"/>
    <w:rsid w:val="00A72F93"/>
    <w:rPr>
      <w:rFonts w:asciiTheme="minorHAnsi" w:hAnsiTheme="minorHAnsi" w:cstheme="minorBidi"/>
      <w:szCs w:val="24"/>
    </w:rPr>
  </w:style>
  <w:style w:type="character" w:styleId="PageNumber">
    <w:name w:val="page number"/>
    <w:basedOn w:val="DefaultParagraphFont"/>
    <w:uiPriority w:val="99"/>
    <w:semiHidden/>
    <w:unhideWhenUsed/>
    <w:rsid w:val="00A72F93"/>
  </w:style>
  <w:style w:type="paragraph" w:styleId="Header">
    <w:name w:val="header"/>
    <w:basedOn w:val="Normal"/>
    <w:link w:val="HeaderChar"/>
    <w:uiPriority w:val="99"/>
    <w:unhideWhenUsed/>
    <w:rsid w:val="00A72F93"/>
    <w:pPr>
      <w:tabs>
        <w:tab w:val="center" w:pos="4680"/>
        <w:tab w:val="right" w:pos="9360"/>
      </w:tabs>
    </w:pPr>
  </w:style>
  <w:style w:type="character" w:customStyle="1" w:styleId="HeaderChar">
    <w:name w:val="Header Char"/>
    <w:basedOn w:val="DefaultParagraphFont"/>
    <w:link w:val="Header"/>
    <w:uiPriority w:val="99"/>
    <w:rsid w:val="00A72F93"/>
    <w:rPr>
      <w:rFonts w:asciiTheme="minorHAnsi" w:hAnsiTheme="minorHAnsi" w:cstheme="minorBidi"/>
      <w:szCs w:val="24"/>
    </w:rPr>
  </w:style>
  <w:style w:type="paragraph" w:styleId="FootnoteText">
    <w:name w:val="footnote text"/>
    <w:basedOn w:val="Normal"/>
    <w:link w:val="FootnoteTextChar"/>
    <w:uiPriority w:val="99"/>
    <w:semiHidden/>
    <w:unhideWhenUsed/>
    <w:rsid w:val="00ED3903"/>
    <w:rPr>
      <w:sz w:val="20"/>
      <w:szCs w:val="20"/>
    </w:rPr>
  </w:style>
  <w:style w:type="character" w:customStyle="1" w:styleId="FootnoteTextChar">
    <w:name w:val="Footnote Text Char"/>
    <w:basedOn w:val="DefaultParagraphFont"/>
    <w:link w:val="FootnoteText"/>
    <w:uiPriority w:val="99"/>
    <w:semiHidden/>
    <w:rsid w:val="00ED3903"/>
    <w:rPr>
      <w:rFonts w:asciiTheme="minorHAnsi" w:hAnsiTheme="minorHAnsi" w:cstheme="minorBidi"/>
      <w:sz w:val="20"/>
    </w:rPr>
  </w:style>
  <w:style w:type="character" w:styleId="FootnoteReference">
    <w:name w:val="footnote reference"/>
    <w:basedOn w:val="DefaultParagraphFont"/>
    <w:uiPriority w:val="99"/>
    <w:semiHidden/>
    <w:unhideWhenUsed/>
    <w:rsid w:val="00ED3903"/>
    <w:rPr>
      <w:vertAlign w:val="superscript"/>
    </w:rPr>
  </w:style>
  <w:style w:type="character" w:styleId="FollowedHyperlink">
    <w:name w:val="FollowedHyperlink"/>
    <w:basedOn w:val="DefaultParagraphFont"/>
    <w:uiPriority w:val="99"/>
    <w:semiHidden/>
    <w:unhideWhenUsed/>
    <w:rsid w:val="00ED39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ctpublic.org/show/where-we-live/2022-04-15/no-fault-evictions-are-on-the-rise-in-connecticut-heres-why" TargetMode="External"/><Relationship Id="rId1" Type="http://schemas.openxmlformats.org/officeDocument/2006/relationships/hyperlink" Target="https://www.ctfairhousing.org/expanded-fair-rent-commiss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528</Words>
  <Characters>3012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Zaccagnino</dc:creator>
  <cp:keywords/>
  <dc:description/>
  <cp:lastModifiedBy>Jess Zaccagnino</cp:lastModifiedBy>
  <cp:revision>2</cp:revision>
  <dcterms:created xsi:type="dcterms:W3CDTF">2025-02-13T16:20:00Z</dcterms:created>
  <dcterms:modified xsi:type="dcterms:W3CDTF">2025-02-13T16:20:00Z</dcterms:modified>
</cp:coreProperties>
</file>