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461BC775"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885FD3">
        <w:rPr>
          <w:rFonts w:ascii="Century Schoolbook" w:eastAsia="Times New Roman" w:hAnsi="Century Schoolbook" w:cs="Times New Roman"/>
          <w:b/>
        </w:rPr>
        <w:t xml:space="preserve">Supporting </w:t>
      </w:r>
      <w:r w:rsidR="00183DA5">
        <w:rPr>
          <w:rFonts w:ascii="Century Schoolbook" w:eastAsia="Times New Roman" w:hAnsi="Century Schoolbook" w:cs="Times New Roman"/>
          <w:b/>
        </w:rPr>
        <w:t>Senate Bill 1394, An Act Concerning the Provision of Health Care Services to Inmates from Correctional Institutions</w:t>
      </w:r>
    </w:p>
    <w:p w14:paraId="18749A34" w14:textId="77777777" w:rsidR="00B75D0E" w:rsidRDefault="00B75D0E" w:rsidP="00B75D0E">
      <w:pPr>
        <w:rPr>
          <w:rFonts w:ascii="Century Schoolbook" w:eastAsia="Times New Roman" w:hAnsi="Century Schoolbook" w:cs="Times New Roman"/>
          <w:b/>
        </w:rPr>
      </w:pPr>
    </w:p>
    <w:p w14:paraId="4C4C7EE7" w14:textId="70C8B6AA"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A16D44">
        <w:rPr>
          <w:rFonts w:ascii="Century Schoolbook" w:eastAsia="Times New Roman" w:hAnsi="Century Schoolbook" w:cs="Times New Roman"/>
        </w:rPr>
        <w:t>Winfield</w:t>
      </w:r>
      <w:r>
        <w:rPr>
          <w:rFonts w:ascii="Century Schoolbook" w:eastAsia="Times New Roman" w:hAnsi="Century Schoolbook" w:cs="Times New Roman"/>
        </w:rPr>
        <w:t xml:space="preserve">, Representative </w:t>
      </w:r>
      <w:r w:rsidR="00A16D44">
        <w:rPr>
          <w:rFonts w:ascii="Century Schoolbook" w:eastAsia="Times New Roman" w:hAnsi="Century Schoolbook" w:cs="Times New Roman"/>
        </w:rPr>
        <w:t>Stafstrom</w:t>
      </w:r>
      <w:r>
        <w:rPr>
          <w:rFonts w:ascii="Century Schoolbook" w:eastAsia="Times New Roman" w:hAnsi="Century Schoolbook" w:cs="Times New Roman"/>
        </w:rPr>
        <w:t xml:space="preserve">, Ranking Members </w:t>
      </w:r>
      <w:r w:rsidR="00A16D44">
        <w:rPr>
          <w:rFonts w:ascii="Century Schoolbook" w:eastAsia="Times New Roman" w:hAnsi="Century Schoolbook" w:cs="Times New Roman"/>
        </w:rPr>
        <w:t>Kissel</w:t>
      </w:r>
      <w:r>
        <w:rPr>
          <w:rFonts w:ascii="Century Schoolbook" w:eastAsia="Times New Roman" w:hAnsi="Century Schoolbook" w:cs="Times New Roman"/>
        </w:rPr>
        <w:t xml:space="preserve"> and </w:t>
      </w:r>
      <w:r w:rsidR="00A16D44">
        <w:rPr>
          <w:rFonts w:ascii="Century Schoolbook" w:eastAsia="Times New Roman" w:hAnsi="Century Schoolbook" w:cs="Times New Roman"/>
        </w:rPr>
        <w:t>Fishbein</w:t>
      </w:r>
      <w:r>
        <w:rPr>
          <w:rFonts w:ascii="Century Schoolbook" w:eastAsia="Times New Roman" w:hAnsi="Century Schoolbook" w:cs="Times New Roman"/>
        </w:rPr>
        <w:t xml:space="preserve">, and members of the </w:t>
      </w:r>
      <w:r w:rsidR="00A16D44">
        <w:rPr>
          <w:rFonts w:ascii="Century Schoolbook" w:eastAsia="Times New Roman" w:hAnsi="Century Schoolbook" w:cs="Times New Roman"/>
        </w:rPr>
        <w:t>Judiciary</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3C97539F" w:rsidR="00B75D0E" w:rsidRDefault="00B75D0E" w:rsidP="00211D4F">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0641A1">
        <w:rPr>
          <w:rFonts w:ascii="Century Schoolbook" w:eastAsia="Times New Roman" w:hAnsi="Century Schoolbook" w:cs="Times New Roman"/>
        </w:rPr>
        <w:t xml:space="preserve"> </w:t>
      </w:r>
      <w:r w:rsidR="00183DA5">
        <w:rPr>
          <w:rFonts w:ascii="Century Schoolbook" w:eastAsia="Times New Roman" w:hAnsi="Century Schoolbook" w:cs="Times New Roman"/>
        </w:rPr>
        <w:t xml:space="preserve">support of </w:t>
      </w:r>
      <w:r w:rsidR="00183DA5" w:rsidRPr="00183DA5">
        <w:rPr>
          <w:rFonts w:ascii="Century Schoolbook" w:eastAsia="Times New Roman" w:hAnsi="Century Schoolbook" w:cs="Times New Roman"/>
        </w:rPr>
        <w:t>Senate Bill 1394, An Act Concerning the Provision of Health Care Services to Inmates from Correctional Institutions.</w:t>
      </w:r>
    </w:p>
    <w:p w14:paraId="7FC6323D" w14:textId="718243CB" w:rsidR="00D53388" w:rsidRDefault="00D53388" w:rsidP="00211D4F">
      <w:pPr>
        <w:spacing w:line="360" w:lineRule="auto"/>
        <w:jc w:val="both"/>
        <w:rPr>
          <w:rFonts w:ascii="Century Schoolbook" w:eastAsia="Times New Roman" w:hAnsi="Century Schoolbook" w:cs="Times New Roman"/>
        </w:rPr>
      </w:pPr>
    </w:p>
    <w:p w14:paraId="39A61EE4" w14:textId="33DEFEB7" w:rsidR="00D53388" w:rsidRDefault="00D53388" w:rsidP="00D53388">
      <w:pPr>
        <w:spacing w:line="360" w:lineRule="auto"/>
        <w:jc w:val="both"/>
        <w:rPr>
          <w:rFonts w:ascii="Century Schoolbook" w:hAnsi="Century Schoolbook"/>
        </w:rPr>
      </w:pPr>
      <w:r>
        <w:rPr>
          <w:rFonts w:ascii="Century Schoolbook" w:hAnsi="Century Schoolbook"/>
        </w:rPr>
        <w:t xml:space="preserve">The ACLU-CT is an organization dedicated to ending mass incarceration, eliminating racial disparities in the criminal legal system, and reducing harms to justice-impacted people. </w:t>
      </w:r>
      <w:r>
        <w:rPr>
          <w:rFonts w:ascii="Century Schoolbook" w:hAnsi="Century Schoolbook"/>
          <w:noProof/>
        </w:rPr>
        <w:t xml:space="preserve">Connecticut is the only state where the Department of Correction (DOC) oversees and operates its own system. </w:t>
      </w:r>
      <w:r>
        <w:rPr>
          <w:rFonts w:ascii="Century Schoolbook" w:hAnsi="Century Schoolbook"/>
        </w:rPr>
        <w:t>From the earliest days of the COVID-19 pandemic, the ACLU-CT has fought to get vulnerable incarcerated people access to medical care and released from DOC jails and prisons.</w:t>
      </w:r>
      <w:r>
        <w:rPr>
          <w:rStyle w:val="FootnoteReference"/>
          <w:rFonts w:ascii="Century Schoolbook" w:hAnsi="Century Schoolbook"/>
        </w:rPr>
        <w:footnoteReference w:id="1"/>
      </w:r>
      <w:r>
        <w:rPr>
          <w:rFonts w:ascii="Century Schoolbook" w:hAnsi="Century Schoolbook"/>
        </w:rPr>
        <w:t xml:space="preserve"> Those efforts, though, went unheeded as both the DOC and the Governor failed to take steps that were within their existing powers</w:t>
      </w:r>
      <w:r>
        <w:rPr>
          <w:rStyle w:val="FootnoteReference"/>
          <w:rFonts w:ascii="Century Schoolbook" w:hAnsi="Century Schoolbook"/>
        </w:rPr>
        <w:footnoteReference w:id="2"/>
      </w:r>
      <w:r>
        <w:rPr>
          <w:rFonts w:ascii="Century Schoolbook" w:hAnsi="Century Schoolbook"/>
        </w:rPr>
        <w:t xml:space="preserve"> to preserve the lives of people with dangerous co-morbidities, pre-existing conditions, and vulnerabilities.</w:t>
      </w:r>
      <w:r>
        <w:rPr>
          <w:rStyle w:val="FootnoteReference"/>
          <w:rFonts w:ascii="Century Schoolbook" w:hAnsi="Century Schoolbook"/>
        </w:rPr>
        <w:footnoteReference w:id="3"/>
      </w:r>
      <w:r>
        <w:rPr>
          <w:rFonts w:ascii="Century Schoolbook" w:hAnsi="Century Schoolbook"/>
        </w:rPr>
        <w:t xml:space="preserve"> </w:t>
      </w:r>
      <w:r>
        <w:rPr>
          <w:rFonts w:ascii="Century Schoolbook" w:hAnsi="Century Schoolbook"/>
          <w:noProof/>
        </w:rPr>
        <w:t xml:space="preserve">DOC’s abject failure to prevent the </w:t>
      </w:r>
      <w:r>
        <w:rPr>
          <w:rFonts w:ascii="Century Schoolbook" w:hAnsi="Century Schoolbook"/>
          <w:noProof/>
        </w:rPr>
        <w:lastRenderedPageBreak/>
        <w:t>spread of COVID-19 in prisons further exposed the department’s general inability to provide quality medical care to people incarcerated in Connecticut’s prisons.</w:t>
      </w:r>
      <w:r>
        <w:rPr>
          <w:rStyle w:val="FootnoteReference"/>
          <w:rFonts w:ascii="Century Schoolbook" w:hAnsi="Century Schoolbook"/>
          <w:noProof/>
        </w:rPr>
        <w:footnoteReference w:id="4"/>
      </w:r>
      <w:r>
        <w:rPr>
          <w:rFonts w:ascii="Century Schoolbook" w:hAnsi="Century Schoolbook"/>
          <w:noProof/>
        </w:rPr>
        <w:t xml:space="preserve"> </w:t>
      </w:r>
    </w:p>
    <w:p w14:paraId="34FBF23C" w14:textId="77777777" w:rsidR="00D53388" w:rsidRDefault="00D53388" w:rsidP="00D53388">
      <w:pPr>
        <w:spacing w:line="360" w:lineRule="auto"/>
        <w:jc w:val="both"/>
        <w:rPr>
          <w:rFonts w:ascii="Century Schoolbook" w:hAnsi="Century Schoolbook"/>
          <w:noProof/>
        </w:rPr>
      </w:pPr>
    </w:p>
    <w:p w14:paraId="4088C6BB" w14:textId="77777777" w:rsidR="00D53388" w:rsidRDefault="00D53388" w:rsidP="00D53388">
      <w:pPr>
        <w:spacing w:line="360" w:lineRule="auto"/>
        <w:jc w:val="both"/>
        <w:rPr>
          <w:rFonts w:ascii="Century Schoolbook" w:hAnsi="Century Schoolbook"/>
          <w:noProof/>
        </w:rPr>
      </w:pPr>
      <w:r>
        <w:rPr>
          <w:rFonts w:ascii="Century Schoolbook" w:hAnsi="Century Schoolbook"/>
          <w:noProof/>
        </w:rPr>
        <w:t>Access to healthcare for incarcerated people is a constitutional right under the Eighth Amendment, extended to the states by the Fourteenth Amendment.</w:t>
      </w:r>
      <w:r>
        <w:rPr>
          <w:rStyle w:val="FootnoteReference"/>
          <w:rFonts w:ascii="Century Schoolbook" w:hAnsi="Century Schoolbook"/>
          <w:noProof/>
        </w:rPr>
        <w:footnoteReference w:id="5"/>
      </w:r>
      <w:r>
        <w:rPr>
          <w:rFonts w:ascii="Century Schoolbook" w:hAnsi="Century Schoolbook"/>
          <w:noProof/>
        </w:rPr>
        <w:t xml:space="preserve"> But the quality of care for incarcerated people in Connecticut has been abysmal, contributing to poor health outcomes for incarcerated people and returning citizens. One study estimated that each year in prison takes two years off a person’s life expectancy.</w:t>
      </w:r>
      <w:r>
        <w:rPr>
          <w:rStyle w:val="FootnoteReference"/>
          <w:rFonts w:ascii="Century Schoolbook" w:hAnsi="Century Schoolbook"/>
          <w:noProof/>
        </w:rPr>
        <w:footnoteReference w:id="6"/>
      </w:r>
      <w:r>
        <w:rPr>
          <w:rFonts w:ascii="Century Schoolbook" w:hAnsi="Century Schoolbook"/>
          <w:noProof/>
        </w:rPr>
        <w:t xml:space="preserve"> Mass incarceration disproportionately hurts Black and brown communities: six cities are home to more than half of the state’s incarcerated population but make up only 17 percent of the state’s total population.</w:t>
      </w:r>
      <w:r>
        <w:rPr>
          <w:rStyle w:val="FootnoteReference"/>
          <w:rFonts w:ascii="Century Schoolbook" w:hAnsi="Century Schoolbook"/>
          <w:noProof/>
        </w:rPr>
        <w:footnoteReference w:id="7"/>
      </w:r>
      <w:r>
        <w:rPr>
          <w:rFonts w:ascii="Century Schoolbook" w:hAnsi="Century Schoolbook"/>
          <w:noProof/>
        </w:rPr>
        <w:t xml:space="preserve"> And we already know that life expectancy in Connecticut varies dramatically by community: the average life expectancy in the state is 78.4 years old, but a person’s life expectancy in Northeast Hartford drops sharply to 68.9 years.</w:t>
      </w:r>
      <w:r>
        <w:rPr>
          <w:rStyle w:val="FootnoteReference"/>
          <w:rFonts w:ascii="Century Schoolbook" w:hAnsi="Century Schoolbook"/>
          <w:noProof/>
        </w:rPr>
        <w:footnoteReference w:id="8"/>
      </w:r>
      <w:r>
        <w:rPr>
          <w:rFonts w:ascii="Century Schoolbook" w:hAnsi="Century Schoolbook"/>
          <w:noProof/>
        </w:rPr>
        <w:t xml:space="preserve"> Just one town over, in West Hartford, a person’s life expectancy is 84.6 years.</w:t>
      </w:r>
      <w:r>
        <w:rPr>
          <w:rStyle w:val="FootnoteReference"/>
          <w:rFonts w:ascii="Century Schoolbook" w:hAnsi="Century Schoolbook"/>
          <w:noProof/>
        </w:rPr>
        <w:footnoteReference w:id="9"/>
      </w:r>
      <w:r>
        <w:rPr>
          <w:rFonts w:ascii="Century Schoolbook" w:hAnsi="Century Schoolbook"/>
          <w:noProof/>
        </w:rPr>
        <w:t xml:space="preserve"> Connecticut has paid out millions of dollars in lawsuits stemming from medical negligence and malpractice with the DOC.</w:t>
      </w:r>
      <w:r>
        <w:rPr>
          <w:rStyle w:val="FootnoteReference"/>
          <w:rFonts w:ascii="Century Schoolbook" w:hAnsi="Century Schoolbook"/>
          <w:noProof/>
        </w:rPr>
        <w:footnoteReference w:id="10"/>
      </w:r>
      <w:r>
        <w:rPr>
          <w:rFonts w:ascii="Century Schoolbook" w:hAnsi="Century Schoolbook"/>
          <w:noProof/>
        </w:rPr>
        <w:t xml:space="preserve"> At the same time, DOC has failed to maintain an adequate number of medical staff to ensure that people get quality, individualized care. In March 2019, the DOC reported a ratio of </w:t>
      </w:r>
      <w:r>
        <w:rPr>
          <w:rFonts w:ascii="Century Schoolbook" w:hAnsi="Century Schoolbook"/>
          <w:noProof/>
        </w:rPr>
        <w:lastRenderedPageBreak/>
        <w:t>one nurse on staff for every 43 prisoners and one doctor on staff for every 579 prisoners according to the Office of Fiscal Analysis.</w:t>
      </w:r>
      <w:r>
        <w:rPr>
          <w:rStyle w:val="FootnoteReference"/>
          <w:rFonts w:ascii="Century Schoolbook" w:hAnsi="Century Schoolbook"/>
          <w:noProof/>
        </w:rPr>
        <w:footnoteReference w:id="11"/>
      </w:r>
    </w:p>
    <w:p w14:paraId="5A3CD317" w14:textId="77777777" w:rsidR="00D53388" w:rsidRDefault="00D53388" w:rsidP="00D53388">
      <w:pPr>
        <w:spacing w:line="360" w:lineRule="auto"/>
        <w:jc w:val="both"/>
        <w:rPr>
          <w:rFonts w:ascii="Century Schoolbook" w:hAnsi="Century Schoolbook"/>
          <w:noProof/>
        </w:rPr>
      </w:pPr>
    </w:p>
    <w:p w14:paraId="6A7B0D6B" w14:textId="05678827" w:rsidR="00D53388" w:rsidRDefault="00D53388" w:rsidP="00D53388">
      <w:pPr>
        <w:spacing w:line="360" w:lineRule="auto"/>
        <w:jc w:val="both"/>
        <w:rPr>
          <w:rFonts w:ascii="Century Schoolbook" w:hAnsi="Century Schoolbook"/>
          <w:noProof/>
        </w:rPr>
      </w:pPr>
      <w:r>
        <w:rPr>
          <w:rFonts w:ascii="Century Schoolbook" w:hAnsi="Century Schoolbook"/>
          <w:noProof/>
        </w:rPr>
        <w:t xml:space="preserve">Senate Bill </w:t>
      </w:r>
      <w:r w:rsidR="00183DA5">
        <w:rPr>
          <w:rFonts w:ascii="Century Schoolbook" w:hAnsi="Century Schoolbook"/>
          <w:noProof/>
        </w:rPr>
        <w:t>1394</w:t>
      </w:r>
      <w:r>
        <w:rPr>
          <w:rFonts w:ascii="Century Schoolbook" w:hAnsi="Century Schoolbook"/>
          <w:noProof/>
        </w:rPr>
        <w:t xml:space="preserve"> represents a beginning step towards providing improved healthcare for people</w:t>
      </w:r>
      <w:r w:rsidR="00183DA5">
        <w:rPr>
          <w:rFonts w:ascii="Century Schoolbook" w:hAnsi="Century Schoolbook"/>
          <w:noProof/>
        </w:rPr>
        <w:t xml:space="preserve"> who are incarcerated</w:t>
      </w:r>
      <w:r>
        <w:rPr>
          <w:rFonts w:ascii="Century Schoolbook" w:hAnsi="Century Schoolbook"/>
          <w:noProof/>
        </w:rPr>
        <w:t>, but the bill can be further strengthened in a number of ways. For example, this bill should establish a regulating body and oversight process for the Department of Corrections healthcare system through the Department of Public Health in combination with the standards and accreditation provided by the National Commission on Correctional Healthcare. A Correctional Health Review Board should be created to receive reports on health outcomes for incarcerated people and returning citizens, healthcare staffing reports, health-related incident reports, and to provide policy and procedure recommendations. This board must be comprised of a mixed group of stakeholders, including but not limited to OBGYNs, infectious disease specialists, endocrinologists, dentists, mental health and substance abuse experts, along with a vested interest that includes justice-impacted people.</w:t>
      </w:r>
      <w:r w:rsidR="00183DA5">
        <w:rPr>
          <w:rFonts w:ascii="Century Schoolbook" w:hAnsi="Century Schoolbook"/>
          <w:noProof/>
        </w:rPr>
        <w:t xml:space="preserve"> </w:t>
      </w:r>
    </w:p>
    <w:p w14:paraId="0DBEA993" w14:textId="77777777" w:rsidR="00D53388" w:rsidRDefault="00D53388" w:rsidP="00D53388">
      <w:pPr>
        <w:spacing w:line="360" w:lineRule="auto"/>
        <w:jc w:val="both"/>
        <w:rPr>
          <w:rFonts w:ascii="Century Schoolbook" w:hAnsi="Century Schoolbook"/>
          <w:noProof/>
        </w:rPr>
      </w:pPr>
    </w:p>
    <w:p w14:paraId="667C2EDD" w14:textId="1BDA0DC9" w:rsidR="00D53388" w:rsidRPr="006C52FA" w:rsidRDefault="00D53388" w:rsidP="00D53388">
      <w:pPr>
        <w:spacing w:line="360" w:lineRule="auto"/>
        <w:jc w:val="both"/>
        <w:rPr>
          <w:rFonts w:ascii="Century Schoolbook" w:hAnsi="Century Schoolbook"/>
          <w:noProof/>
        </w:rPr>
      </w:pPr>
      <w:r>
        <w:rPr>
          <w:rFonts w:ascii="Century Schoolbook" w:hAnsi="Century Schoolbook"/>
          <w:noProof/>
        </w:rPr>
        <w:t xml:space="preserve">The ACLU-CT strongly supports measures that improve access to quality healthcare for people incarcerated in Connecticut’s prisons. Given the DOC’s failure to provide adequate care, both during and before the pandemic, Senate Bill </w:t>
      </w:r>
      <w:r w:rsidR="00450C0C">
        <w:rPr>
          <w:rFonts w:ascii="Century Schoolbook" w:hAnsi="Century Schoolbook"/>
          <w:noProof/>
        </w:rPr>
        <w:t>1394</w:t>
      </w:r>
      <w:r>
        <w:rPr>
          <w:rFonts w:ascii="Century Schoolbook" w:hAnsi="Century Schoolbook"/>
          <w:noProof/>
        </w:rPr>
        <w:t xml:space="preserve"> is vital in this effort. As such, the ACLU-CT urges this Committee to support Senate Bill </w:t>
      </w:r>
      <w:r w:rsidR="00450C0C">
        <w:rPr>
          <w:rFonts w:ascii="Century Schoolbook" w:hAnsi="Century Schoolbook"/>
          <w:noProof/>
        </w:rPr>
        <w:t>1394</w:t>
      </w:r>
      <w:bookmarkStart w:id="0" w:name="_GoBack"/>
      <w:bookmarkEnd w:id="0"/>
      <w:r>
        <w:rPr>
          <w:rFonts w:ascii="Century Schoolbook" w:hAnsi="Century Schoolbook"/>
          <w:noProof/>
        </w:rPr>
        <w:t xml:space="preserve"> and consider our additional recommendations to improve outcomes for incarcerated individuals, DOC health care workers, and returning citizens.</w:t>
      </w:r>
    </w:p>
    <w:p w14:paraId="451EB28C" w14:textId="77777777" w:rsidR="00D53388" w:rsidRDefault="00D53388" w:rsidP="00D53388"/>
    <w:p w14:paraId="2D6FC9D8" w14:textId="77777777" w:rsidR="00D53388" w:rsidRPr="008740F8" w:rsidRDefault="00D53388" w:rsidP="00211D4F">
      <w:pPr>
        <w:spacing w:line="360" w:lineRule="auto"/>
        <w:jc w:val="both"/>
        <w:rPr>
          <w:rFonts w:ascii="Century Schoolbook" w:eastAsia="Times New Roman" w:hAnsi="Century Schoolbook" w:cs="Times New Roman"/>
        </w:rPr>
      </w:pPr>
    </w:p>
    <w:p w14:paraId="10C3A4C7" w14:textId="77777777" w:rsidR="00B66651" w:rsidRDefault="005722E8"/>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D2188" w14:textId="77777777" w:rsidR="005722E8" w:rsidRDefault="005722E8" w:rsidP="00A72F93">
      <w:r>
        <w:separator/>
      </w:r>
    </w:p>
  </w:endnote>
  <w:endnote w:type="continuationSeparator" w:id="0">
    <w:p w14:paraId="585CED62" w14:textId="77777777" w:rsidR="005722E8" w:rsidRDefault="005722E8"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B66C8" w14:textId="77777777" w:rsidR="005722E8" w:rsidRDefault="005722E8" w:rsidP="00A72F93">
      <w:r>
        <w:separator/>
      </w:r>
    </w:p>
  </w:footnote>
  <w:footnote w:type="continuationSeparator" w:id="0">
    <w:p w14:paraId="687B9F7B" w14:textId="77777777" w:rsidR="005722E8" w:rsidRDefault="005722E8" w:rsidP="00A72F93">
      <w:r>
        <w:continuationSeparator/>
      </w:r>
    </w:p>
  </w:footnote>
  <w:footnote w:id="1">
    <w:p w14:paraId="45B46BAB"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See, e.g., </w:t>
      </w:r>
      <w:r w:rsidRPr="00183DA5">
        <w:rPr>
          <w:rFonts w:ascii="Century Schoolbook" w:hAnsi="Century Schoolbook"/>
          <w:i/>
          <w:sz w:val="16"/>
          <w:szCs w:val="16"/>
        </w:rPr>
        <w:t>ACLU of Connecticut Urges State Officials to Use Existing Powers to Release People Awaiting Trial, Certain Other Incarcerated People During COVID-19 Pandemic</w:t>
      </w:r>
      <w:r w:rsidRPr="00183DA5">
        <w:rPr>
          <w:rFonts w:ascii="Century Schoolbook" w:hAnsi="Century Schoolbook"/>
          <w:sz w:val="16"/>
          <w:szCs w:val="16"/>
        </w:rPr>
        <w:t xml:space="preserve">, </w:t>
      </w:r>
      <w:r w:rsidRPr="00183DA5">
        <w:rPr>
          <w:rFonts w:ascii="Century Schoolbook" w:hAnsi="Century Schoolbook"/>
          <w:smallCaps/>
          <w:sz w:val="16"/>
          <w:szCs w:val="16"/>
        </w:rPr>
        <w:t>ACLU Conn</w:t>
      </w:r>
      <w:r w:rsidRPr="00183DA5">
        <w:rPr>
          <w:rFonts w:ascii="Century Schoolbook" w:hAnsi="Century Schoolbook"/>
          <w:sz w:val="16"/>
          <w:szCs w:val="16"/>
        </w:rPr>
        <w:t xml:space="preserve">. (Mar. 12, 2020), </w:t>
      </w:r>
      <w:r w:rsidRPr="00183DA5">
        <w:rPr>
          <w:rFonts w:ascii="Century Schoolbook" w:hAnsi="Century Schoolbook"/>
          <w:i/>
          <w:sz w:val="16"/>
          <w:szCs w:val="16"/>
        </w:rPr>
        <w:t>available at</w:t>
      </w:r>
      <w:r w:rsidRPr="00183DA5">
        <w:rPr>
          <w:rFonts w:ascii="Century Schoolbook" w:hAnsi="Century Schoolbook"/>
          <w:sz w:val="16"/>
          <w:szCs w:val="16"/>
        </w:rPr>
        <w:t xml:space="preserve"> </w:t>
      </w:r>
      <w:hyperlink r:id="rId1" w:history="1">
        <w:r w:rsidRPr="00183DA5">
          <w:rPr>
            <w:rStyle w:val="Hyperlink"/>
            <w:rFonts w:ascii="Century Schoolbook" w:hAnsi="Century Schoolbook"/>
            <w:sz w:val="16"/>
            <w:szCs w:val="16"/>
          </w:rPr>
          <w:t>https://www.acluct.org/en/press-releases/aclu-connecticut-urges-state-officials-use-existing-powers-release-people-awaiting</w:t>
        </w:r>
      </w:hyperlink>
      <w:r w:rsidRPr="00183DA5">
        <w:rPr>
          <w:rFonts w:ascii="Century Schoolbook" w:hAnsi="Century Schoolbook"/>
          <w:sz w:val="16"/>
          <w:szCs w:val="16"/>
        </w:rPr>
        <w:t xml:space="preserve">. </w:t>
      </w:r>
    </w:p>
  </w:footnote>
  <w:footnote w:id="2">
    <w:p w14:paraId="35934B8D"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Id.</w:t>
      </w:r>
    </w:p>
  </w:footnote>
  <w:footnote w:id="3">
    <w:p w14:paraId="6EC61E30" w14:textId="77777777" w:rsidR="00D53388" w:rsidRPr="00183DA5" w:rsidRDefault="00D53388" w:rsidP="00D53388">
      <w:pPr>
        <w:pStyle w:val="FootnoteText"/>
        <w:rPr>
          <w:rFonts w:ascii="Century Schoolbook" w:hAnsi="Century Schoolbook"/>
          <w:i/>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See, e.g.</w:t>
      </w:r>
      <w:r w:rsidRPr="00183DA5">
        <w:rPr>
          <w:rFonts w:ascii="Century Schoolbook" w:hAnsi="Century Schoolbook"/>
          <w:sz w:val="16"/>
          <w:szCs w:val="16"/>
        </w:rPr>
        <w:t xml:space="preserve">, Kelan Lyons, </w:t>
      </w:r>
      <w:r w:rsidRPr="00183DA5">
        <w:rPr>
          <w:rFonts w:ascii="Century Schoolbook" w:hAnsi="Century Schoolbook"/>
          <w:i/>
          <w:sz w:val="16"/>
          <w:szCs w:val="16"/>
        </w:rPr>
        <w:t>CT Hasn’t Commuted a Single Prisoner’s Sentence Since Before the Pandemic. Advocates Say It’s Time to Change</w:t>
      </w:r>
      <w:r w:rsidRPr="00183DA5">
        <w:rPr>
          <w:rFonts w:ascii="Century Schoolbook" w:hAnsi="Century Schoolbook"/>
          <w:sz w:val="16"/>
          <w:szCs w:val="16"/>
        </w:rPr>
        <w:t xml:space="preserve">, </w:t>
      </w:r>
      <w:r w:rsidRPr="00183DA5">
        <w:rPr>
          <w:rFonts w:ascii="Century Schoolbook" w:hAnsi="Century Schoolbook"/>
          <w:smallCaps/>
          <w:sz w:val="16"/>
          <w:szCs w:val="16"/>
        </w:rPr>
        <w:t>CT Mirror</w:t>
      </w:r>
      <w:r w:rsidRPr="00183DA5">
        <w:rPr>
          <w:rFonts w:ascii="Century Schoolbook" w:hAnsi="Century Schoolbook"/>
          <w:sz w:val="16"/>
          <w:szCs w:val="16"/>
        </w:rPr>
        <w:t xml:space="preserve"> (Nov. 30, 2020), </w:t>
      </w:r>
      <w:r w:rsidRPr="00183DA5">
        <w:rPr>
          <w:rFonts w:ascii="Century Schoolbook" w:hAnsi="Century Schoolbook"/>
          <w:i/>
          <w:sz w:val="16"/>
          <w:szCs w:val="16"/>
        </w:rPr>
        <w:t>available at</w:t>
      </w:r>
      <w:r w:rsidRPr="00183DA5">
        <w:rPr>
          <w:rFonts w:ascii="Century Schoolbook" w:hAnsi="Century Schoolbook"/>
          <w:sz w:val="16"/>
          <w:szCs w:val="16"/>
        </w:rPr>
        <w:t xml:space="preserve"> </w:t>
      </w:r>
      <w:hyperlink r:id="rId2" w:history="1">
        <w:r w:rsidRPr="00183DA5">
          <w:rPr>
            <w:rStyle w:val="Hyperlink"/>
            <w:rFonts w:ascii="Century Schoolbook" w:hAnsi="Century Schoolbook"/>
            <w:sz w:val="16"/>
            <w:szCs w:val="16"/>
          </w:rPr>
          <w:t>https://ctmirror.org/2020/11/30/ct-hasnt-commuted-a-single-prisoners-sentencesince-before-the-pandemic-advocates-say-its-time-to-change/</w:t>
        </w:r>
      </w:hyperlink>
      <w:r w:rsidRPr="00183DA5">
        <w:rPr>
          <w:rFonts w:ascii="Century Schoolbook" w:hAnsi="Century Schoolbook"/>
          <w:sz w:val="16"/>
          <w:szCs w:val="16"/>
        </w:rPr>
        <w:t xml:space="preserve">. </w:t>
      </w:r>
    </w:p>
  </w:footnote>
  <w:footnote w:id="4">
    <w:p w14:paraId="4180F998"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See, e.g.</w:t>
      </w:r>
      <w:r w:rsidRPr="00183DA5">
        <w:rPr>
          <w:rFonts w:ascii="Century Schoolbook" w:hAnsi="Century Schoolbook"/>
          <w:sz w:val="16"/>
          <w:szCs w:val="16"/>
        </w:rPr>
        <w:t xml:space="preserve">, Roni Caryn Rabin, </w:t>
      </w:r>
      <w:r w:rsidRPr="00183DA5">
        <w:rPr>
          <w:rFonts w:ascii="Century Schoolbook" w:hAnsi="Century Schoolbook"/>
          <w:i/>
          <w:sz w:val="16"/>
          <w:szCs w:val="16"/>
        </w:rPr>
        <w:t xml:space="preserve">Vulnerable Inmates Left in Prison as </w:t>
      </w:r>
      <w:proofErr w:type="spellStart"/>
      <w:r w:rsidRPr="00183DA5">
        <w:rPr>
          <w:rFonts w:ascii="Century Schoolbook" w:hAnsi="Century Schoolbook"/>
          <w:i/>
          <w:sz w:val="16"/>
          <w:szCs w:val="16"/>
        </w:rPr>
        <w:t>Covid</w:t>
      </w:r>
      <w:proofErr w:type="spellEnd"/>
      <w:r w:rsidRPr="00183DA5">
        <w:rPr>
          <w:rFonts w:ascii="Century Schoolbook" w:hAnsi="Century Schoolbook"/>
          <w:i/>
          <w:sz w:val="16"/>
          <w:szCs w:val="16"/>
        </w:rPr>
        <w:t xml:space="preserve"> Rages</w:t>
      </w:r>
      <w:r w:rsidRPr="00183DA5">
        <w:rPr>
          <w:rFonts w:ascii="Century Schoolbook" w:hAnsi="Century Schoolbook"/>
          <w:sz w:val="16"/>
          <w:szCs w:val="16"/>
        </w:rPr>
        <w:t xml:space="preserve">, </w:t>
      </w:r>
      <w:r w:rsidRPr="00183DA5">
        <w:rPr>
          <w:rFonts w:ascii="Century Schoolbook" w:hAnsi="Century Schoolbook"/>
          <w:smallCaps/>
          <w:sz w:val="16"/>
          <w:szCs w:val="16"/>
        </w:rPr>
        <w:t>N.Y. Times</w:t>
      </w:r>
      <w:r w:rsidRPr="00183DA5">
        <w:rPr>
          <w:rFonts w:ascii="Century Schoolbook" w:hAnsi="Century Schoolbook"/>
          <w:sz w:val="16"/>
          <w:szCs w:val="16"/>
        </w:rPr>
        <w:t xml:space="preserve"> (July 19, 2021), </w:t>
      </w:r>
      <w:r w:rsidRPr="00183DA5">
        <w:rPr>
          <w:rFonts w:ascii="Century Schoolbook" w:hAnsi="Century Schoolbook"/>
          <w:i/>
          <w:sz w:val="16"/>
          <w:szCs w:val="16"/>
        </w:rPr>
        <w:t>available at</w:t>
      </w:r>
      <w:r w:rsidRPr="00183DA5">
        <w:rPr>
          <w:rFonts w:ascii="Century Schoolbook" w:hAnsi="Century Schoolbook"/>
          <w:sz w:val="16"/>
          <w:szCs w:val="16"/>
        </w:rPr>
        <w:t xml:space="preserve"> </w:t>
      </w:r>
      <w:hyperlink r:id="rId3" w:history="1">
        <w:r w:rsidRPr="00183DA5">
          <w:rPr>
            <w:rStyle w:val="Hyperlink"/>
            <w:rFonts w:ascii="Century Schoolbook" w:hAnsi="Century Schoolbook"/>
            <w:sz w:val="16"/>
            <w:szCs w:val="16"/>
          </w:rPr>
          <w:t>https://www.nytimes.com/2021/02/27/health/coronavirus-prisons-danbury.html</w:t>
        </w:r>
      </w:hyperlink>
      <w:r w:rsidRPr="00183DA5">
        <w:rPr>
          <w:rFonts w:ascii="Century Schoolbook" w:hAnsi="Century Schoolbook"/>
          <w:sz w:val="16"/>
          <w:szCs w:val="16"/>
        </w:rPr>
        <w:t xml:space="preserve">; Kelan Lyons, </w:t>
      </w:r>
      <w:r w:rsidRPr="00183DA5">
        <w:rPr>
          <w:rFonts w:ascii="Century Schoolbook" w:hAnsi="Century Schoolbook"/>
          <w:i/>
          <w:sz w:val="16"/>
          <w:szCs w:val="16"/>
        </w:rPr>
        <w:t>State Response to COVID-19 Prison Lawsuit Sheds Light on Its Pandemic Plans For Sick Inmates</w:t>
      </w:r>
      <w:r w:rsidRPr="00183DA5">
        <w:rPr>
          <w:rFonts w:ascii="Century Schoolbook" w:hAnsi="Century Schoolbook"/>
          <w:sz w:val="16"/>
          <w:szCs w:val="16"/>
        </w:rPr>
        <w:t xml:space="preserve">, </w:t>
      </w:r>
      <w:r w:rsidRPr="00183DA5">
        <w:rPr>
          <w:rFonts w:ascii="Century Schoolbook" w:hAnsi="Century Schoolbook"/>
          <w:smallCaps/>
          <w:sz w:val="16"/>
          <w:szCs w:val="16"/>
        </w:rPr>
        <w:t>CT Mirror</w:t>
      </w:r>
      <w:r w:rsidRPr="00183DA5">
        <w:rPr>
          <w:rFonts w:ascii="Century Schoolbook" w:hAnsi="Century Schoolbook"/>
          <w:sz w:val="16"/>
          <w:szCs w:val="16"/>
        </w:rPr>
        <w:t xml:space="preserve"> (Apr. 8, 2020), </w:t>
      </w:r>
      <w:hyperlink r:id="rId4" w:history="1">
        <w:r w:rsidRPr="00183DA5">
          <w:rPr>
            <w:rStyle w:val="Hyperlink"/>
            <w:rFonts w:ascii="Century Schoolbook" w:hAnsi="Century Schoolbook"/>
            <w:sz w:val="16"/>
            <w:szCs w:val="16"/>
          </w:rPr>
          <w:t>https://ctmirror.org/2020/04/08/state-response-to-covid-19-prison-lawsuit-sheds-light-on-its-pandemic-plans-for-sick-inmates/</w:t>
        </w:r>
      </w:hyperlink>
      <w:r w:rsidRPr="00183DA5">
        <w:rPr>
          <w:rFonts w:ascii="Century Schoolbook" w:hAnsi="Century Schoolbook"/>
          <w:sz w:val="16"/>
          <w:szCs w:val="16"/>
        </w:rPr>
        <w:t xml:space="preserve">; Angela Fortuna, </w:t>
      </w:r>
      <w:r w:rsidRPr="00183DA5">
        <w:rPr>
          <w:rFonts w:ascii="Century Schoolbook" w:hAnsi="Century Schoolbook"/>
          <w:i/>
          <w:sz w:val="16"/>
          <w:szCs w:val="16"/>
        </w:rPr>
        <w:t>Settlement Reached in Federal Lawsuit About Conditions in Connecticut Prisons During COVID-19</w:t>
      </w:r>
      <w:r w:rsidRPr="00183DA5">
        <w:rPr>
          <w:rFonts w:ascii="Century Schoolbook" w:hAnsi="Century Schoolbook"/>
          <w:sz w:val="16"/>
          <w:szCs w:val="16"/>
        </w:rPr>
        <w:t xml:space="preserve">, </w:t>
      </w:r>
      <w:r w:rsidRPr="00183DA5">
        <w:rPr>
          <w:rFonts w:ascii="Century Schoolbook" w:hAnsi="Century Schoolbook"/>
          <w:smallCaps/>
          <w:sz w:val="16"/>
          <w:szCs w:val="16"/>
        </w:rPr>
        <w:t>NBC Conn</w:t>
      </w:r>
      <w:r w:rsidRPr="00183DA5">
        <w:rPr>
          <w:rFonts w:ascii="Century Schoolbook" w:hAnsi="Century Schoolbook"/>
          <w:sz w:val="16"/>
          <w:szCs w:val="16"/>
        </w:rPr>
        <w:t xml:space="preserve">. (Mar. 29, 2021 at 2:49 PM), </w:t>
      </w:r>
      <w:hyperlink r:id="rId5" w:history="1">
        <w:r w:rsidRPr="00183DA5">
          <w:rPr>
            <w:rStyle w:val="Hyperlink"/>
            <w:rFonts w:ascii="Century Schoolbook" w:hAnsi="Century Schoolbook"/>
            <w:sz w:val="16"/>
            <w:szCs w:val="16"/>
          </w:rPr>
          <w:t>https://www.nbcconnecticut.com/news/local/settlement-reached-in-federal-lawsuit-about-conditions-in-conn-prisons-during-covid-19/2284176/</w:t>
        </w:r>
      </w:hyperlink>
      <w:r w:rsidRPr="00183DA5">
        <w:rPr>
          <w:rFonts w:ascii="Century Schoolbook" w:hAnsi="Century Schoolbook"/>
          <w:sz w:val="16"/>
          <w:szCs w:val="16"/>
        </w:rPr>
        <w:t xml:space="preserve">. </w:t>
      </w:r>
    </w:p>
  </w:footnote>
  <w:footnote w:id="5">
    <w:p w14:paraId="0BF41443"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 xml:space="preserve">See </w:t>
      </w:r>
      <w:r w:rsidRPr="00183DA5">
        <w:rPr>
          <w:rFonts w:ascii="Century Schoolbook" w:hAnsi="Century Schoolbook"/>
          <w:sz w:val="16"/>
          <w:szCs w:val="16"/>
        </w:rPr>
        <w:t>Estelle v. Gamble, 429 U.S. 97, 103 S. Ct. 285 (1976) (finding that delayed medical treatment as punishment was violative of the Eighth amendment if they are incompatible with “the evolving standards of decency that mark the progress of a maturing society” or “involve the unnecessary and wanton infliction of pain.”).</w:t>
      </w:r>
    </w:p>
  </w:footnote>
  <w:footnote w:id="6">
    <w:p w14:paraId="2DBA123A"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Emily </w:t>
      </w:r>
      <w:proofErr w:type="spellStart"/>
      <w:r w:rsidRPr="00183DA5">
        <w:rPr>
          <w:rFonts w:ascii="Century Schoolbook" w:hAnsi="Century Schoolbook"/>
          <w:sz w:val="16"/>
          <w:szCs w:val="16"/>
        </w:rPr>
        <w:t>Widra</w:t>
      </w:r>
      <w:proofErr w:type="spellEnd"/>
      <w:r w:rsidRPr="00183DA5">
        <w:rPr>
          <w:rFonts w:ascii="Century Schoolbook" w:hAnsi="Century Schoolbook"/>
          <w:sz w:val="16"/>
          <w:szCs w:val="16"/>
        </w:rPr>
        <w:t xml:space="preserve">, </w:t>
      </w:r>
      <w:r w:rsidRPr="00183DA5">
        <w:rPr>
          <w:rFonts w:ascii="Century Schoolbook" w:hAnsi="Century Schoolbook"/>
          <w:i/>
          <w:sz w:val="16"/>
          <w:szCs w:val="16"/>
        </w:rPr>
        <w:t>Incarceration Shortens Life Expectancy</w:t>
      </w:r>
      <w:r w:rsidRPr="00183DA5">
        <w:rPr>
          <w:rFonts w:ascii="Century Schoolbook" w:hAnsi="Century Schoolbook"/>
          <w:sz w:val="16"/>
          <w:szCs w:val="16"/>
        </w:rPr>
        <w:t xml:space="preserve">, </w:t>
      </w:r>
      <w:r w:rsidRPr="00183DA5">
        <w:rPr>
          <w:rFonts w:ascii="Century Schoolbook" w:hAnsi="Century Schoolbook"/>
          <w:smallCaps/>
          <w:sz w:val="16"/>
          <w:szCs w:val="16"/>
        </w:rPr>
        <w:t xml:space="preserve">Prison </w:t>
      </w:r>
      <w:proofErr w:type="spellStart"/>
      <w:r w:rsidRPr="00183DA5">
        <w:rPr>
          <w:rFonts w:ascii="Century Schoolbook" w:hAnsi="Century Schoolbook"/>
          <w:smallCaps/>
          <w:sz w:val="16"/>
          <w:szCs w:val="16"/>
        </w:rPr>
        <w:t>Pol’y</w:t>
      </w:r>
      <w:proofErr w:type="spellEnd"/>
      <w:r w:rsidRPr="00183DA5">
        <w:rPr>
          <w:rFonts w:ascii="Century Schoolbook" w:hAnsi="Century Schoolbook"/>
          <w:smallCaps/>
          <w:sz w:val="16"/>
          <w:szCs w:val="16"/>
        </w:rPr>
        <w:t xml:space="preserve"> Initiative</w:t>
      </w:r>
      <w:r w:rsidRPr="00183DA5">
        <w:rPr>
          <w:rFonts w:ascii="Century Schoolbook" w:hAnsi="Century Schoolbook"/>
          <w:sz w:val="16"/>
          <w:szCs w:val="16"/>
        </w:rPr>
        <w:t xml:space="preserve"> (June 26, 2017), </w:t>
      </w:r>
      <w:hyperlink r:id="rId6" w:history="1">
        <w:r w:rsidRPr="00183DA5">
          <w:rPr>
            <w:rStyle w:val="Hyperlink"/>
            <w:rFonts w:ascii="Century Schoolbook" w:hAnsi="Century Schoolbook"/>
            <w:sz w:val="16"/>
            <w:szCs w:val="16"/>
          </w:rPr>
          <w:t>https://www.prisonpolicy.org/blog/2017/06/26/life_expectancy/</w:t>
        </w:r>
      </w:hyperlink>
      <w:r w:rsidRPr="00183DA5">
        <w:rPr>
          <w:rFonts w:ascii="Century Schoolbook" w:hAnsi="Century Schoolbook"/>
          <w:sz w:val="16"/>
          <w:szCs w:val="16"/>
        </w:rPr>
        <w:t xml:space="preserve">. </w:t>
      </w:r>
    </w:p>
  </w:footnote>
  <w:footnote w:id="7">
    <w:p w14:paraId="565A0446"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Emily </w:t>
      </w:r>
      <w:proofErr w:type="spellStart"/>
      <w:r w:rsidRPr="00183DA5">
        <w:rPr>
          <w:rFonts w:ascii="Century Schoolbook" w:hAnsi="Century Schoolbook"/>
          <w:sz w:val="16"/>
          <w:szCs w:val="16"/>
        </w:rPr>
        <w:t>Widra</w:t>
      </w:r>
      <w:proofErr w:type="spellEnd"/>
      <w:r w:rsidRPr="00183DA5">
        <w:rPr>
          <w:rFonts w:ascii="Century Schoolbook" w:hAnsi="Century Schoolbook"/>
          <w:sz w:val="16"/>
          <w:szCs w:val="16"/>
        </w:rPr>
        <w:t xml:space="preserve">, et al., </w:t>
      </w:r>
      <w:r w:rsidRPr="00183DA5">
        <w:rPr>
          <w:rFonts w:ascii="Century Schoolbook" w:hAnsi="Century Schoolbook"/>
          <w:i/>
          <w:sz w:val="16"/>
          <w:szCs w:val="16"/>
        </w:rPr>
        <w:t>Where People in Prison Come From: The Geography of Mass Incarceration in Connecticut</w:t>
      </w:r>
      <w:r w:rsidRPr="00183DA5">
        <w:rPr>
          <w:rFonts w:ascii="Century Schoolbook" w:hAnsi="Century Schoolbook"/>
          <w:sz w:val="16"/>
          <w:szCs w:val="16"/>
        </w:rPr>
        <w:t xml:space="preserve">, </w:t>
      </w:r>
      <w:r w:rsidRPr="00183DA5">
        <w:rPr>
          <w:rFonts w:ascii="Century Schoolbook" w:hAnsi="Century Schoolbook"/>
          <w:smallCaps/>
          <w:sz w:val="16"/>
          <w:szCs w:val="16"/>
        </w:rPr>
        <w:t xml:space="preserve">Prison </w:t>
      </w:r>
      <w:proofErr w:type="spellStart"/>
      <w:r w:rsidRPr="00183DA5">
        <w:rPr>
          <w:rFonts w:ascii="Century Schoolbook" w:hAnsi="Century Schoolbook"/>
          <w:smallCaps/>
          <w:sz w:val="16"/>
          <w:szCs w:val="16"/>
        </w:rPr>
        <w:t>Pol’y</w:t>
      </w:r>
      <w:proofErr w:type="spellEnd"/>
      <w:r w:rsidRPr="00183DA5">
        <w:rPr>
          <w:rFonts w:ascii="Century Schoolbook" w:hAnsi="Century Schoolbook"/>
          <w:smallCaps/>
          <w:sz w:val="16"/>
          <w:szCs w:val="16"/>
        </w:rPr>
        <w:t xml:space="preserve"> Initiative</w:t>
      </w:r>
      <w:r w:rsidRPr="00183DA5">
        <w:rPr>
          <w:rFonts w:ascii="Century Schoolbook" w:hAnsi="Century Schoolbook"/>
          <w:sz w:val="16"/>
          <w:szCs w:val="16"/>
        </w:rPr>
        <w:t xml:space="preserve"> (Oct. 2022), </w:t>
      </w:r>
      <w:hyperlink r:id="rId7" w:history="1">
        <w:r w:rsidRPr="00183DA5">
          <w:rPr>
            <w:rStyle w:val="Hyperlink"/>
            <w:rFonts w:ascii="Century Schoolbook" w:hAnsi="Century Schoolbook"/>
            <w:sz w:val="16"/>
            <w:szCs w:val="16"/>
          </w:rPr>
          <w:t>https://www.prisonpolicy.org/origin/ct/2020/report.html</w:t>
        </w:r>
      </w:hyperlink>
      <w:r w:rsidRPr="00183DA5">
        <w:rPr>
          <w:rFonts w:ascii="Century Schoolbook" w:hAnsi="Century Schoolbook"/>
          <w:sz w:val="16"/>
          <w:szCs w:val="16"/>
        </w:rPr>
        <w:t xml:space="preserve">. </w:t>
      </w:r>
    </w:p>
  </w:footnote>
  <w:footnote w:id="8">
    <w:p w14:paraId="5662DD07"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Dear Connecticut Residents: Your Neighborhood Might Determine How Long You’ll Live</w:t>
      </w:r>
      <w:r w:rsidRPr="00183DA5">
        <w:rPr>
          <w:rFonts w:ascii="Century Schoolbook" w:hAnsi="Century Schoolbook"/>
          <w:sz w:val="16"/>
          <w:szCs w:val="16"/>
        </w:rPr>
        <w:t xml:space="preserve">, CT Health (Sept. 13, 2018), </w:t>
      </w:r>
      <w:hyperlink r:id="rId8" w:anchor=":~:text=In%20Northeast%20Hartford%2C%20the%20life,tops%20that%2C%20at%2084.6%20years" w:history="1">
        <w:r w:rsidRPr="00183DA5">
          <w:rPr>
            <w:rStyle w:val="Hyperlink"/>
            <w:rFonts w:ascii="Century Schoolbook" w:hAnsi="Century Schoolbook"/>
            <w:sz w:val="16"/>
            <w:szCs w:val="16"/>
          </w:rPr>
          <w:t>https://www.cthealth.org/latest-news/blog-posts/dear-connecticut-residents-your-neighborhood-really-does-determine-how-long-youll-live/#:~:text=In%20Northeast%20Hartford%2C%20the%20life,tops%20that%2C%20at%2084.6%20years</w:t>
        </w:r>
      </w:hyperlink>
      <w:r w:rsidRPr="00183DA5">
        <w:rPr>
          <w:rFonts w:ascii="Century Schoolbook" w:hAnsi="Century Schoolbook"/>
          <w:sz w:val="16"/>
          <w:szCs w:val="16"/>
        </w:rPr>
        <w:t xml:space="preserve">. </w:t>
      </w:r>
    </w:p>
  </w:footnote>
  <w:footnote w:id="9">
    <w:p w14:paraId="29C62917" w14:textId="77777777" w:rsidR="00D53388" w:rsidRPr="00183DA5" w:rsidRDefault="00D53388" w:rsidP="00D53388">
      <w:pPr>
        <w:pStyle w:val="FootnoteText"/>
        <w:rPr>
          <w:rFonts w:ascii="Century Schoolbook" w:hAnsi="Century Schoolbook"/>
          <w:i/>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Id.</w:t>
      </w:r>
    </w:p>
  </w:footnote>
  <w:footnote w:id="10">
    <w:p w14:paraId="32231F23"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Angela Fortuna, </w:t>
      </w:r>
      <w:r w:rsidRPr="00183DA5">
        <w:rPr>
          <w:rFonts w:ascii="Century Schoolbook" w:hAnsi="Century Schoolbook"/>
          <w:i/>
          <w:sz w:val="16"/>
          <w:szCs w:val="16"/>
        </w:rPr>
        <w:t>Settlement Reached in Federal Lawsuit About Conditions in Connecticut Prisons During COVID-19</w:t>
      </w:r>
      <w:r w:rsidRPr="00183DA5">
        <w:rPr>
          <w:rFonts w:ascii="Century Schoolbook" w:hAnsi="Century Schoolbook"/>
          <w:sz w:val="16"/>
          <w:szCs w:val="16"/>
        </w:rPr>
        <w:t xml:space="preserve">, </w:t>
      </w:r>
      <w:r w:rsidRPr="00183DA5">
        <w:rPr>
          <w:rFonts w:ascii="Century Schoolbook" w:hAnsi="Century Schoolbook"/>
          <w:smallCaps/>
          <w:sz w:val="16"/>
          <w:szCs w:val="16"/>
        </w:rPr>
        <w:t>NBC Conn</w:t>
      </w:r>
      <w:r w:rsidRPr="00183DA5">
        <w:rPr>
          <w:rFonts w:ascii="Century Schoolbook" w:hAnsi="Century Schoolbook"/>
          <w:sz w:val="16"/>
          <w:szCs w:val="16"/>
        </w:rPr>
        <w:t xml:space="preserve">. (Mar. 29, 2021 at 2:49 PM), </w:t>
      </w:r>
      <w:hyperlink r:id="rId9" w:history="1">
        <w:r w:rsidRPr="00183DA5">
          <w:rPr>
            <w:rStyle w:val="Hyperlink"/>
            <w:rFonts w:ascii="Century Schoolbook" w:hAnsi="Century Schoolbook"/>
            <w:sz w:val="16"/>
            <w:szCs w:val="16"/>
          </w:rPr>
          <w:t>https://www.nbcconnecticut.com/news/local/settlement-reached-in-federal-lawsuit-about-conditions-in-conn-prisons-during-covid-19/2284176/</w:t>
        </w:r>
      </w:hyperlink>
      <w:r w:rsidRPr="00183DA5">
        <w:rPr>
          <w:rFonts w:ascii="Century Schoolbook" w:hAnsi="Century Schoolbook"/>
          <w:sz w:val="16"/>
          <w:szCs w:val="16"/>
        </w:rPr>
        <w:t xml:space="preserve">. </w:t>
      </w:r>
    </w:p>
  </w:footnote>
  <w:footnote w:id="11">
    <w:p w14:paraId="086E5C02" w14:textId="77777777" w:rsidR="00D53388" w:rsidRPr="00183DA5" w:rsidRDefault="00D53388" w:rsidP="00D53388">
      <w:pPr>
        <w:pStyle w:val="FootnoteText"/>
        <w:rPr>
          <w:rFonts w:ascii="Century Schoolbook" w:hAnsi="Century Schoolbook"/>
          <w:sz w:val="16"/>
          <w:szCs w:val="16"/>
        </w:rPr>
      </w:pPr>
      <w:r w:rsidRPr="00183DA5">
        <w:rPr>
          <w:rStyle w:val="FootnoteReference"/>
          <w:rFonts w:ascii="Century Schoolbook" w:hAnsi="Century Schoolbook"/>
          <w:sz w:val="16"/>
          <w:szCs w:val="16"/>
        </w:rPr>
        <w:footnoteRef/>
      </w:r>
      <w:r w:rsidRPr="00183DA5">
        <w:rPr>
          <w:rFonts w:ascii="Century Schoolbook" w:hAnsi="Century Schoolbook"/>
          <w:sz w:val="16"/>
          <w:szCs w:val="16"/>
        </w:rPr>
        <w:t xml:space="preserve"> </w:t>
      </w:r>
      <w:r w:rsidRPr="00183DA5">
        <w:rPr>
          <w:rFonts w:ascii="Century Schoolbook" w:hAnsi="Century Schoolbook"/>
          <w:i/>
          <w:sz w:val="16"/>
          <w:szCs w:val="16"/>
        </w:rPr>
        <w:t>Appropriations Subcommittee Work Session 03/26/2019</w:t>
      </w:r>
      <w:r w:rsidRPr="00183DA5">
        <w:rPr>
          <w:rFonts w:ascii="Century Schoolbook" w:hAnsi="Century Schoolbook"/>
          <w:sz w:val="16"/>
          <w:szCs w:val="16"/>
        </w:rPr>
        <w:t xml:space="preserve">, </w:t>
      </w:r>
      <w:r w:rsidRPr="00183DA5">
        <w:rPr>
          <w:rFonts w:ascii="Century Schoolbook" w:hAnsi="Century Schoolbook"/>
          <w:smallCaps/>
          <w:sz w:val="16"/>
          <w:szCs w:val="16"/>
        </w:rPr>
        <w:t>Conn. Dep’t Corrections</w:t>
      </w:r>
      <w:r w:rsidRPr="00183DA5">
        <w:rPr>
          <w:rFonts w:ascii="Century Schoolbook" w:hAnsi="Century Schoolbook"/>
          <w:sz w:val="16"/>
          <w:szCs w:val="16"/>
        </w:rPr>
        <w:t xml:space="preserve"> (Mar. 26, 2019), </w:t>
      </w:r>
      <w:r w:rsidRPr="00183DA5">
        <w:rPr>
          <w:rFonts w:ascii="Century Schoolbook" w:hAnsi="Century Schoolbook"/>
          <w:i/>
          <w:sz w:val="16"/>
          <w:szCs w:val="16"/>
        </w:rPr>
        <w:t>available at</w:t>
      </w:r>
      <w:r w:rsidRPr="00183DA5">
        <w:rPr>
          <w:rFonts w:ascii="Century Schoolbook" w:hAnsi="Century Schoolbook"/>
          <w:sz w:val="16"/>
          <w:szCs w:val="16"/>
        </w:rPr>
        <w:t xml:space="preserve"> </w:t>
      </w:r>
      <w:hyperlink r:id="rId10" w:history="1">
        <w:r w:rsidRPr="00183DA5">
          <w:rPr>
            <w:rStyle w:val="Hyperlink"/>
            <w:rFonts w:ascii="Century Schoolbook" w:hAnsi="Century Schoolbook"/>
            <w:sz w:val="16"/>
            <w:szCs w:val="16"/>
          </w:rPr>
          <w:t>https://assets.documentcloud.org/documents/6178958/DOC-appropriations-subcommittee-03-26-19.pdf</w:t>
        </w:r>
      </w:hyperlink>
      <w:r w:rsidRPr="00183DA5">
        <w:rPr>
          <w:rFonts w:ascii="Century Schoolbook" w:hAnsi="Century Schoolbook"/>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641A1"/>
    <w:rsid w:val="00071788"/>
    <w:rsid w:val="00183DA5"/>
    <w:rsid w:val="001F483B"/>
    <w:rsid w:val="00211D4F"/>
    <w:rsid w:val="0025735E"/>
    <w:rsid w:val="00282DFA"/>
    <w:rsid w:val="002F2775"/>
    <w:rsid w:val="003160F6"/>
    <w:rsid w:val="00384766"/>
    <w:rsid w:val="003F7664"/>
    <w:rsid w:val="00450C0C"/>
    <w:rsid w:val="004E2FAD"/>
    <w:rsid w:val="00527DCB"/>
    <w:rsid w:val="005722E8"/>
    <w:rsid w:val="006279DA"/>
    <w:rsid w:val="00662B42"/>
    <w:rsid w:val="00724368"/>
    <w:rsid w:val="00740843"/>
    <w:rsid w:val="007434EA"/>
    <w:rsid w:val="00885FD3"/>
    <w:rsid w:val="008A5AED"/>
    <w:rsid w:val="008D60C6"/>
    <w:rsid w:val="008E1674"/>
    <w:rsid w:val="00A16D44"/>
    <w:rsid w:val="00A656F0"/>
    <w:rsid w:val="00A72F93"/>
    <w:rsid w:val="00A74086"/>
    <w:rsid w:val="00B73992"/>
    <w:rsid w:val="00B75D0E"/>
    <w:rsid w:val="00C67079"/>
    <w:rsid w:val="00D53388"/>
    <w:rsid w:val="00D715DE"/>
    <w:rsid w:val="00DA4660"/>
    <w:rsid w:val="00E615C4"/>
    <w:rsid w:val="00EB1CFD"/>
    <w:rsid w:val="00ED505C"/>
    <w:rsid w:val="00F47E33"/>
    <w:rsid w:val="00F70B92"/>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E615C4"/>
    <w:rPr>
      <w:sz w:val="20"/>
      <w:szCs w:val="20"/>
    </w:rPr>
  </w:style>
  <w:style w:type="character" w:customStyle="1" w:styleId="FootnoteTextChar">
    <w:name w:val="Footnote Text Char"/>
    <w:basedOn w:val="DefaultParagraphFont"/>
    <w:link w:val="FootnoteText"/>
    <w:uiPriority w:val="99"/>
    <w:semiHidden/>
    <w:rsid w:val="00E615C4"/>
    <w:rPr>
      <w:rFonts w:asciiTheme="minorHAnsi" w:hAnsiTheme="minorHAnsi" w:cstheme="minorBidi"/>
      <w:sz w:val="20"/>
    </w:rPr>
  </w:style>
  <w:style w:type="character" w:styleId="FootnoteReference">
    <w:name w:val="footnote reference"/>
    <w:basedOn w:val="DefaultParagraphFont"/>
    <w:uiPriority w:val="99"/>
    <w:semiHidden/>
    <w:unhideWhenUsed/>
    <w:rsid w:val="00E615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thealth.org/latest-news/blog-posts/dear-connecticut-residents-your-neighborhood-really-does-determine-how-long-youll-live/" TargetMode="External"/><Relationship Id="rId3" Type="http://schemas.openxmlformats.org/officeDocument/2006/relationships/hyperlink" Target="https://www.nytimes.com/2021/02/27/health/coronavirus-prisons-danbury.html" TargetMode="External"/><Relationship Id="rId7" Type="http://schemas.openxmlformats.org/officeDocument/2006/relationships/hyperlink" Target="https://www.prisonpolicy.org/origin/ct/2020/report.html" TargetMode="External"/><Relationship Id="rId2" Type="http://schemas.openxmlformats.org/officeDocument/2006/relationships/hyperlink" Target="https://ctmirror.org/2020/11/30/ct-hasnt-commuted-a-single-prisoners-sentencesince-before-the-pandemic-advocates-say-its-time-to-change/" TargetMode="External"/><Relationship Id="rId1" Type="http://schemas.openxmlformats.org/officeDocument/2006/relationships/hyperlink" Target="https://www.acluct.org/en/press-releases/aclu-connecticut-urges-state-officials-use-existing-powers-release-people-awaiting" TargetMode="External"/><Relationship Id="rId6" Type="http://schemas.openxmlformats.org/officeDocument/2006/relationships/hyperlink" Target="https://www.prisonpolicy.org/blog/2017/06/26/life_expectancy/" TargetMode="External"/><Relationship Id="rId5" Type="http://schemas.openxmlformats.org/officeDocument/2006/relationships/hyperlink" Target="https://www.nbcconnecticut.com/news/local/settlement-reached-in-federal-lawsuit-about-conditions-in-conn-prisons-during-covid-19/2284176/" TargetMode="External"/><Relationship Id="rId10" Type="http://schemas.openxmlformats.org/officeDocument/2006/relationships/hyperlink" Target="https://assets.documentcloud.org/documents/6178958/DOC-appropriations-subcommittee-03-26-19.pdf" TargetMode="External"/><Relationship Id="rId4" Type="http://schemas.openxmlformats.org/officeDocument/2006/relationships/hyperlink" Target="https://ctmirror.org/2020/04/08/state-response-to-covid-19-prison-lawsuit-sheds-light-on-its-pandemic-plans-for-sick-inmates/" TargetMode="External"/><Relationship Id="rId9" Type="http://schemas.openxmlformats.org/officeDocument/2006/relationships/hyperlink" Target="https://www.nbcconnecticut.com/news/local/settlement-reached-in-federal-lawsuit-about-conditions-in-conn-prisons-during-covid-19/2284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3</cp:revision>
  <dcterms:created xsi:type="dcterms:W3CDTF">2025-03-03T12:58:00Z</dcterms:created>
  <dcterms:modified xsi:type="dcterms:W3CDTF">2025-03-03T18:45:00Z</dcterms:modified>
</cp:coreProperties>
</file>