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63458E" w14:textId="77777777" w:rsidR="00B75D0E" w:rsidRPr="00CE26AF" w:rsidRDefault="00B75D0E" w:rsidP="00B75D0E">
      <w:pPr>
        <w:jc w:val="right"/>
        <w:rPr>
          <w:rFonts w:ascii="Century Schoolbook" w:eastAsia="Times New Roman" w:hAnsi="Century Schoolbook" w:cs="Times New Roman"/>
          <w:color w:val="000000"/>
        </w:rPr>
      </w:pPr>
      <w:r w:rsidRPr="00CE26AF">
        <w:rPr>
          <w:rFonts w:ascii="Century Schoolbook" w:eastAsia="Times New Roman" w:hAnsi="Century Schoolbook" w:cs="Times New Roman"/>
          <w:noProof/>
          <w:color w:val="000000"/>
        </w:rPr>
        <w:drawing>
          <wp:anchor distT="0" distB="0" distL="114300" distR="114300" simplePos="0" relativeHeight="251659264" behindDoc="0" locked="0" layoutInCell="1" allowOverlap="1" wp14:anchorId="3C951307" wp14:editId="3E07B7E1">
            <wp:simplePos x="0" y="0"/>
            <wp:positionH relativeFrom="column">
              <wp:posOffset>-232347</wp:posOffset>
            </wp:positionH>
            <wp:positionV relativeFrom="paragraph">
              <wp:posOffset>-121292</wp:posOffset>
            </wp:positionV>
            <wp:extent cx="1818640" cy="1085215"/>
            <wp:effectExtent l="0" t="0" r="0" b="0"/>
            <wp:wrapNone/>
            <wp:docPr id="3" name="Picture 3" descr="https://lh3.googleusercontent.com/HWzpA2IvXaYmfLYYnXToFH34N22hhcmQCrrHdc8FmQ8gcg5alkMPqZ8QA6Mg2VAwyOwuNytS08AmOfm4hpSyC_x7as9TinrjFPdgBw35wXwMKx2ssDqAHGTiBORpOI2WjuiS5XeUubSLOvOz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lh3.googleusercontent.com/HWzpA2IvXaYmfLYYnXToFH34N22hhcmQCrrHdc8FmQ8gcg5alkMPqZ8QA6Mg2VAwyOwuNytS08AmOfm4hpSyC_x7as9TinrjFPdgBw35wXwMKx2ssDqAHGTiBORpOI2WjuiS5XeUubSLOvOzmg"/>
                    <pic:cNvPicPr>
                      <a:picLocks noChangeAspect="1" noChangeArrowheads="1"/>
                    </pic:cNvPicPr>
                  </pic:nvPicPr>
                  <pic:blipFill rotWithShape="1">
                    <a:blip r:embed="rId7">
                      <a:extLst>
                        <a:ext uri="{28A0092B-C50C-407E-A947-70E740481C1C}">
                          <a14:useLocalDpi xmlns:a14="http://schemas.microsoft.com/office/drawing/2010/main" val="0"/>
                        </a:ext>
                      </a:extLst>
                    </a:blip>
                    <a:srcRect b="32074"/>
                    <a:stretch/>
                  </pic:blipFill>
                  <pic:spPr bwMode="auto">
                    <a:xfrm>
                      <a:off x="0" y="0"/>
                      <a:ext cx="1818640" cy="1085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CE26AF">
        <w:rPr>
          <w:rFonts w:ascii="Century Schoolbook" w:eastAsia="Times New Roman" w:hAnsi="Century Schoolbook" w:cs="Times New Roman"/>
          <w:color w:val="000000"/>
        </w:rPr>
        <w:t>Legislative Testimony</w:t>
      </w:r>
    </w:p>
    <w:p w14:paraId="0B704802" w14:textId="77777777" w:rsidR="00B75D0E" w:rsidRDefault="00B75D0E" w:rsidP="00B75D0E">
      <w:pPr>
        <w:jc w:val="right"/>
        <w:rPr>
          <w:rStyle w:val="Hyperlink"/>
          <w:rFonts w:ascii="Century Schoolbook" w:eastAsia="Times New Roman" w:hAnsi="Century Schoolbook" w:cs="Times New Roman"/>
          <w:color w:val="auto"/>
          <w:u w:val="none"/>
        </w:rPr>
      </w:pPr>
      <w:r w:rsidRPr="00CE26AF">
        <w:rPr>
          <w:rFonts w:ascii="Century Schoolbook" w:eastAsia="Times New Roman" w:hAnsi="Century Schoolbook" w:cs="Times New Roman"/>
          <w:color w:val="000000"/>
        </w:rPr>
        <w:t xml:space="preserve">765 Asylum Avenue, </w:t>
      </w:r>
      <w:r>
        <w:rPr>
          <w:rFonts w:ascii="Century Schoolbook" w:eastAsia="Times New Roman" w:hAnsi="Century Schoolbook" w:cs="Times New Roman"/>
          <w:color w:val="000000"/>
        </w:rPr>
        <w:t>2nd</w:t>
      </w:r>
      <w:r w:rsidRPr="00CE26AF">
        <w:rPr>
          <w:rFonts w:ascii="Century Schoolbook" w:eastAsia="Times New Roman" w:hAnsi="Century Schoolbook" w:cs="Times New Roman"/>
          <w:color w:val="000000"/>
        </w:rPr>
        <w:t xml:space="preserve"> Floor</w:t>
      </w:r>
      <w:r w:rsidRPr="00CE26AF">
        <w:rPr>
          <w:rFonts w:ascii="Century Schoolbook" w:eastAsia="Times New Roman" w:hAnsi="Century Schoolbook" w:cs="Times New Roman"/>
          <w:color w:val="000000"/>
        </w:rPr>
        <w:br/>
        <w:t>Hartford, CT 06105</w:t>
      </w:r>
      <w:r w:rsidRPr="00CE26AF">
        <w:rPr>
          <w:rFonts w:ascii="Century Schoolbook" w:eastAsia="Times New Roman" w:hAnsi="Century Schoolbook" w:cs="Times New Roman"/>
          <w:color w:val="000000"/>
        </w:rPr>
        <w:br/>
        <w:t>860-523-9146</w:t>
      </w:r>
      <w:r w:rsidRPr="00CE26AF">
        <w:rPr>
          <w:rFonts w:ascii="Century Schoolbook" w:eastAsia="Times New Roman" w:hAnsi="Century Schoolbook" w:cs="Times New Roman"/>
          <w:color w:val="000000"/>
        </w:rPr>
        <w:br/>
      </w:r>
      <w:r w:rsidRPr="00CE26AF">
        <w:rPr>
          <w:rStyle w:val="Hyperlink"/>
          <w:rFonts w:ascii="Century Schoolbook" w:eastAsia="Times New Roman" w:hAnsi="Century Schoolbook" w:cs="Times New Roman"/>
          <w:color w:val="auto"/>
          <w:u w:val="none"/>
        </w:rPr>
        <w:t>www.acluct.org</w:t>
      </w:r>
    </w:p>
    <w:p w14:paraId="6D872C05" w14:textId="77777777" w:rsidR="00B75D0E" w:rsidRDefault="00B75D0E" w:rsidP="00B75D0E">
      <w:pPr>
        <w:jc w:val="center"/>
        <w:rPr>
          <w:rFonts w:ascii="Century Schoolbook" w:eastAsia="Times New Roman" w:hAnsi="Century Schoolbook" w:cs="Times New Roman"/>
          <w:b/>
        </w:rPr>
      </w:pPr>
    </w:p>
    <w:p w14:paraId="75B0BDF7" w14:textId="238A9BF3" w:rsidR="00B75D0E" w:rsidRDefault="00B75D0E" w:rsidP="00B75D0E">
      <w:pPr>
        <w:jc w:val="center"/>
        <w:rPr>
          <w:rFonts w:ascii="Century Schoolbook" w:eastAsia="Times New Roman" w:hAnsi="Century Schoolbook" w:cs="Times New Roman"/>
          <w:b/>
        </w:rPr>
      </w:pPr>
      <w:r>
        <w:rPr>
          <w:rFonts w:ascii="Century Schoolbook" w:eastAsia="Times New Roman" w:hAnsi="Century Schoolbook" w:cs="Times New Roman"/>
          <w:b/>
        </w:rPr>
        <w:t xml:space="preserve">Written Testimony </w:t>
      </w:r>
      <w:r w:rsidR="003F392F">
        <w:rPr>
          <w:rFonts w:ascii="Century Schoolbook" w:eastAsia="Times New Roman" w:hAnsi="Century Schoolbook" w:cs="Times New Roman"/>
          <w:b/>
        </w:rPr>
        <w:t>Supporting Senate Joint Resolution 35, A Resolution Proposing a State Constitutional Amendment Concerning Discrimination on the Basis of Sex Under the Equal Protection Clause</w:t>
      </w:r>
    </w:p>
    <w:p w14:paraId="18749A34" w14:textId="77777777" w:rsidR="00B75D0E" w:rsidRDefault="00B75D0E" w:rsidP="00F837B4">
      <w:pPr>
        <w:spacing w:line="360" w:lineRule="auto"/>
        <w:rPr>
          <w:rFonts w:ascii="Century Schoolbook" w:eastAsia="Times New Roman" w:hAnsi="Century Schoolbook" w:cs="Times New Roman"/>
          <w:b/>
        </w:rPr>
      </w:pPr>
    </w:p>
    <w:p w14:paraId="4C4C7EE7" w14:textId="5F352B6F" w:rsidR="00B75D0E" w:rsidRPr="00F5462F" w:rsidRDefault="00B75D0E" w:rsidP="00F5462F">
      <w:pPr>
        <w:spacing w:line="360" w:lineRule="auto"/>
        <w:jc w:val="both"/>
        <w:rPr>
          <w:rFonts w:ascii="Century Schoolbook" w:eastAsia="Times New Roman" w:hAnsi="Century Schoolbook" w:cs="Times New Roman"/>
        </w:rPr>
      </w:pPr>
      <w:r w:rsidRPr="00F5462F">
        <w:rPr>
          <w:rFonts w:ascii="Century Schoolbook" w:eastAsia="Times New Roman" w:hAnsi="Century Schoolbook" w:cs="Times New Roman"/>
        </w:rPr>
        <w:t xml:space="preserve">Senator </w:t>
      </w:r>
      <w:proofErr w:type="spellStart"/>
      <w:r w:rsidR="00724368" w:rsidRPr="00F5462F">
        <w:rPr>
          <w:rFonts w:ascii="Century Schoolbook" w:eastAsia="Times New Roman" w:hAnsi="Century Schoolbook" w:cs="Times New Roman"/>
        </w:rPr>
        <w:t>Flexer</w:t>
      </w:r>
      <w:proofErr w:type="spellEnd"/>
      <w:r w:rsidRPr="00F5462F">
        <w:rPr>
          <w:rFonts w:ascii="Century Schoolbook" w:eastAsia="Times New Roman" w:hAnsi="Century Schoolbook" w:cs="Times New Roman"/>
        </w:rPr>
        <w:t xml:space="preserve">, Representative </w:t>
      </w:r>
      <w:r w:rsidR="00724368" w:rsidRPr="00F5462F">
        <w:rPr>
          <w:rFonts w:ascii="Century Schoolbook" w:eastAsia="Times New Roman" w:hAnsi="Century Schoolbook" w:cs="Times New Roman"/>
        </w:rPr>
        <w:t>Blumenthal</w:t>
      </w:r>
      <w:r w:rsidRPr="00F5462F">
        <w:rPr>
          <w:rFonts w:ascii="Century Schoolbook" w:eastAsia="Times New Roman" w:hAnsi="Century Schoolbook" w:cs="Times New Roman"/>
        </w:rPr>
        <w:t xml:space="preserve">, Ranking Members </w:t>
      </w:r>
      <w:r w:rsidR="00724368" w:rsidRPr="00F5462F">
        <w:rPr>
          <w:rFonts w:ascii="Century Schoolbook" w:eastAsia="Times New Roman" w:hAnsi="Century Schoolbook" w:cs="Times New Roman"/>
        </w:rPr>
        <w:t>Sampson</w:t>
      </w:r>
      <w:r w:rsidRPr="00F5462F">
        <w:rPr>
          <w:rFonts w:ascii="Century Schoolbook" w:eastAsia="Times New Roman" w:hAnsi="Century Schoolbook" w:cs="Times New Roman"/>
        </w:rPr>
        <w:t xml:space="preserve"> and </w:t>
      </w:r>
      <w:proofErr w:type="spellStart"/>
      <w:r w:rsidR="00724368" w:rsidRPr="00F5462F">
        <w:rPr>
          <w:rFonts w:ascii="Century Schoolbook" w:eastAsia="Times New Roman" w:hAnsi="Century Schoolbook" w:cs="Times New Roman"/>
        </w:rPr>
        <w:t>Mastrofrancesco</w:t>
      </w:r>
      <w:proofErr w:type="spellEnd"/>
      <w:r w:rsidRPr="00F5462F">
        <w:rPr>
          <w:rFonts w:ascii="Century Schoolbook" w:eastAsia="Times New Roman" w:hAnsi="Century Schoolbook" w:cs="Times New Roman"/>
        </w:rPr>
        <w:t xml:space="preserve">, and members of the </w:t>
      </w:r>
      <w:r w:rsidR="008A5AED" w:rsidRPr="00F5462F">
        <w:rPr>
          <w:rFonts w:ascii="Century Schoolbook" w:eastAsia="Times New Roman" w:hAnsi="Century Schoolbook" w:cs="Times New Roman"/>
        </w:rPr>
        <w:t>G</w:t>
      </w:r>
      <w:r w:rsidR="00724368" w:rsidRPr="00F5462F">
        <w:rPr>
          <w:rFonts w:ascii="Century Schoolbook" w:eastAsia="Times New Roman" w:hAnsi="Century Schoolbook" w:cs="Times New Roman"/>
        </w:rPr>
        <w:t>overnment Administration and Elections</w:t>
      </w:r>
      <w:r w:rsidRPr="00F5462F">
        <w:rPr>
          <w:rFonts w:ascii="Century Schoolbook" w:eastAsia="Times New Roman" w:hAnsi="Century Schoolbook" w:cs="Times New Roman"/>
        </w:rPr>
        <w:t xml:space="preserve"> Committee:</w:t>
      </w:r>
    </w:p>
    <w:p w14:paraId="2DAD3EBC" w14:textId="77777777" w:rsidR="00B75D0E" w:rsidRPr="00F5462F" w:rsidRDefault="00B75D0E" w:rsidP="00F5462F">
      <w:pPr>
        <w:spacing w:line="360" w:lineRule="auto"/>
        <w:jc w:val="both"/>
        <w:rPr>
          <w:rFonts w:ascii="Century Schoolbook" w:eastAsia="Times New Roman" w:hAnsi="Century Schoolbook" w:cs="Times New Roman"/>
        </w:rPr>
      </w:pPr>
    </w:p>
    <w:p w14:paraId="6A4C6B77" w14:textId="297DA263" w:rsidR="00B75D0E" w:rsidRPr="00F5462F" w:rsidRDefault="00B75D0E" w:rsidP="00F5462F">
      <w:pPr>
        <w:spacing w:line="360" w:lineRule="auto"/>
        <w:jc w:val="both"/>
        <w:rPr>
          <w:rFonts w:ascii="Century Schoolbook" w:eastAsia="Times New Roman" w:hAnsi="Century Schoolbook" w:cs="Times New Roman"/>
        </w:rPr>
      </w:pPr>
      <w:r w:rsidRPr="00F5462F">
        <w:rPr>
          <w:rFonts w:ascii="Century Schoolbook" w:eastAsia="Times New Roman" w:hAnsi="Century Schoolbook" w:cs="Times New Roman"/>
        </w:rPr>
        <w:t>My name is Jess Zaccagnino, and I am the policy counsel of the American Civil Liberties Union of Connecticut (ACLU-CT). I am writing to testify</w:t>
      </w:r>
      <w:r w:rsidR="00A72F93" w:rsidRPr="00F5462F">
        <w:rPr>
          <w:rFonts w:ascii="Century Schoolbook" w:eastAsia="Times New Roman" w:hAnsi="Century Schoolbook" w:cs="Times New Roman"/>
        </w:rPr>
        <w:t xml:space="preserve"> in</w:t>
      </w:r>
      <w:r w:rsidR="003F392F" w:rsidRPr="00F5462F">
        <w:rPr>
          <w:rFonts w:ascii="Century Schoolbook" w:eastAsia="Times New Roman" w:hAnsi="Century Schoolbook" w:cs="Times New Roman"/>
        </w:rPr>
        <w:t xml:space="preserve"> support of Senate Joint Resolution 35, A Resolution Proposing a State Constitutional Amendment Concerning Discrimination on the Basis of Sex Under the Equal Protection Clause.</w:t>
      </w:r>
      <w:r w:rsidRPr="00F5462F">
        <w:rPr>
          <w:rFonts w:ascii="Century Schoolbook" w:eastAsia="Times New Roman" w:hAnsi="Century Schoolbook" w:cs="Times New Roman"/>
        </w:rPr>
        <w:t xml:space="preserve"> </w:t>
      </w:r>
    </w:p>
    <w:p w14:paraId="53CB72F3" w14:textId="3F05BCF4" w:rsidR="00F5462F" w:rsidRPr="00F5462F" w:rsidRDefault="00F5462F" w:rsidP="00F5462F">
      <w:pPr>
        <w:spacing w:line="360" w:lineRule="auto"/>
        <w:jc w:val="both"/>
        <w:rPr>
          <w:rFonts w:ascii="Century Schoolbook" w:eastAsia="Times New Roman" w:hAnsi="Century Schoolbook" w:cs="Times New Roman"/>
        </w:rPr>
      </w:pPr>
    </w:p>
    <w:p w14:paraId="04A76FA6" w14:textId="64167E59" w:rsidR="00F5462F" w:rsidRPr="00F5462F" w:rsidRDefault="00F5462F" w:rsidP="00F5462F">
      <w:pPr>
        <w:pStyle w:val="paragraph"/>
        <w:spacing w:before="0" w:beforeAutospacing="0" w:after="0" w:afterAutospacing="0" w:line="360" w:lineRule="auto"/>
        <w:jc w:val="both"/>
        <w:textAlignment w:val="baseline"/>
        <w:rPr>
          <w:rFonts w:ascii="Arial" w:hAnsi="Arial" w:cs="Arial"/>
        </w:rPr>
      </w:pPr>
      <w:r w:rsidRPr="00F5462F">
        <w:rPr>
          <w:rStyle w:val="normaltextrun"/>
          <w:rFonts w:ascii="Century Schoolbook" w:hAnsi="Century Schoolbook" w:cs="Arial"/>
        </w:rPr>
        <w:t xml:space="preserve">The ACLU-CT </w:t>
      </w:r>
      <w:r w:rsidR="003F5FB4">
        <w:rPr>
          <w:rStyle w:val="normaltextrun"/>
          <w:rFonts w:ascii="Century Schoolbook" w:hAnsi="Century Schoolbook" w:cs="Arial"/>
        </w:rPr>
        <w:t xml:space="preserve">is an organization that is dedicated to furthering reproductive justice and gender equality. </w:t>
      </w:r>
      <w:r w:rsidR="003F5FB4" w:rsidRPr="00F5462F">
        <w:rPr>
          <w:rStyle w:val="normaltextrun"/>
          <w:rFonts w:ascii="Century Schoolbook" w:hAnsi="Century Schoolbook" w:cs="Arial"/>
          <w:color w:val="000000"/>
        </w:rPr>
        <w:t xml:space="preserve">The ACLU-CT believes in a future where everyone can make decisions about </w:t>
      </w:r>
      <w:r w:rsidR="00F837B4">
        <w:rPr>
          <w:rStyle w:val="normaltextrun"/>
          <w:rFonts w:ascii="Century Schoolbook" w:hAnsi="Century Schoolbook" w:cs="Arial"/>
          <w:color w:val="000000"/>
        </w:rPr>
        <w:t xml:space="preserve">reproductive health care, </w:t>
      </w:r>
      <w:r w:rsidR="003F5FB4" w:rsidRPr="00F5462F">
        <w:rPr>
          <w:rStyle w:val="normaltextrun"/>
          <w:rFonts w:ascii="Century Schoolbook" w:hAnsi="Century Schoolbook" w:cs="Arial"/>
          <w:color w:val="000000"/>
        </w:rPr>
        <w:t>pregnancy</w:t>
      </w:r>
      <w:r w:rsidR="00F837B4">
        <w:rPr>
          <w:rStyle w:val="normaltextrun"/>
          <w:rFonts w:ascii="Century Schoolbook" w:hAnsi="Century Schoolbook" w:cs="Arial"/>
          <w:color w:val="000000"/>
        </w:rPr>
        <w:t>,</w:t>
      </w:r>
      <w:r w:rsidR="003F5FB4" w:rsidRPr="00F5462F">
        <w:rPr>
          <w:rStyle w:val="normaltextrun"/>
          <w:rFonts w:ascii="Century Schoolbook" w:hAnsi="Century Schoolbook" w:cs="Arial"/>
          <w:color w:val="000000"/>
        </w:rPr>
        <w:t xml:space="preserve"> and parenting that are the best for them, which includes access to safe, legal, and affordable abortion. </w:t>
      </w:r>
      <w:r w:rsidR="003F5FB4">
        <w:rPr>
          <w:rStyle w:val="normaltextrun"/>
          <w:rFonts w:ascii="Century Schoolbook" w:hAnsi="Century Schoolbook" w:cs="Arial"/>
          <w:color w:val="000000"/>
        </w:rPr>
        <w:t xml:space="preserve">We are also </w:t>
      </w:r>
      <w:r w:rsidR="003F5FB4">
        <w:rPr>
          <w:rFonts w:ascii="Century Schoolbook" w:hAnsi="Century Schoolbook"/>
        </w:rPr>
        <w:t>dedicated to ensuring that LGBTQ+ people can live openly and freely, with full rights, personal autonomy, and freedom of expression and association.</w:t>
      </w:r>
    </w:p>
    <w:p w14:paraId="222EAB45" w14:textId="11C915B5" w:rsidR="00F5462F" w:rsidRPr="00F5462F" w:rsidRDefault="00F5462F" w:rsidP="00F5462F">
      <w:pPr>
        <w:pStyle w:val="paragraph"/>
        <w:spacing w:before="0" w:beforeAutospacing="0" w:after="0" w:afterAutospacing="0" w:line="360" w:lineRule="auto"/>
        <w:jc w:val="both"/>
        <w:textAlignment w:val="baseline"/>
        <w:rPr>
          <w:rFonts w:ascii="Arial" w:hAnsi="Arial" w:cs="Arial"/>
        </w:rPr>
      </w:pPr>
      <w:r w:rsidRPr="00F5462F">
        <w:rPr>
          <w:rStyle w:val="eop"/>
          <w:rFonts w:ascii="Century Schoolbook" w:hAnsi="Century Schoolbook" w:cs="Arial"/>
        </w:rPr>
        <w:t> </w:t>
      </w:r>
    </w:p>
    <w:p w14:paraId="76349E27" w14:textId="2409CCA7" w:rsidR="00BD6283" w:rsidRPr="0039755B" w:rsidRDefault="00F5462F" w:rsidP="00F5462F">
      <w:pPr>
        <w:pStyle w:val="paragraph"/>
        <w:spacing w:before="0" w:beforeAutospacing="0" w:after="0" w:afterAutospacing="0" w:line="360" w:lineRule="auto"/>
        <w:jc w:val="both"/>
        <w:textAlignment w:val="baseline"/>
        <w:rPr>
          <w:rStyle w:val="normaltextrun"/>
          <w:rFonts w:ascii="Century Schoolbook" w:hAnsi="Century Schoolbook" w:cs="Arial"/>
          <w:color w:val="000000"/>
        </w:rPr>
      </w:pPr>
      <w:r w:rsidRPr="00F5462F">
        <w:rPr>
          <w:rStyle w:val="normaltextrun"/>
          <w:rFonts w:ascii="Century Schoolbook" w:hAnsi="Century Schoolbook" w:cs="Arial"/>
        </w:rPr>
        <w:t>Connecticut has been a preeminent leader in recognizing and safeguarding reproductive rights and</w:t>
      </w:r>
      <w:r w:rsidR="003F5FB4">
        <w:rPr>
          <w:rStyle w:val="normaltextrun"/>
          <w:rFonts w:ascii="Century Schoolbook" w:hAnsi="Century Schoolbook" w:cs="Arial"/>
        </w:rPr>
        <w:t xml:space="preserve"> gender equality</w:t>
      </w:r>
      <w:r w:rsidRPr="00F5462F">
        <w:rPr>
          <w:rStyle w:val="normaltextrun"/>
          <w:rFonts w:ascii="Century Schoolbook" w:hAnsi="Century Schoolbook" w:cs="Arial"/>
        </w:rPr>
        <w:t>. We thank this Committee for its dedication to ensuring that Connecticut remains a beacon of freedom</w:t>
      </w:r>
      <w:r>
        <w:rPr>
          <w:rStyle w:val="normaltextrun"/>
          <w:rFonts w:ascii="Century Schoolbook" w:hAnsi="Century Schoolbook" w:cs="Arial"/>
        </w:rPr>
        <w:t xml:space="preserve"> as we witness direct and repeated attacks against civil rights and liberties across the country. </w:t>
      </w:r>
      <w:r w:rsidRPr="00F5462F">
        <w:rPr>
          <w:rStyle w:val="normaltextrun"/>
          <w:rFonts w:ascii="Century Schoolbook" w:hAnsi="Century Schoolbook" w:cs="Arial"/>
          <w:color w:val="000000"/>
        </w:rPr>
        <w:t xml:space="preserve">Connecticut has </w:t>
      </w:r>
      <w:r w:rsidR="00A55D56">
        <w:rPr>
          <w:rStyle w:val="normaltextrun"/>
          <w:rFonts w:ascii="Century Schoolbook" w:hAnsi="Century Schoolbook" w:cs="Arial"/>
          <w:color w:val="000000"/>
        </w:rPr>
        <w:t xml:space="preserve">long supported </w:t>
      </w:r>
      <w:r w:rsidRPr="00F5462F">
        <w:rPr>
          <w:rStyle w:val="normaltextrun"/>
          <w:rFonts w:ascii="Century Schoolbook" w:hAnsi="Century Schoolbook" w:cs="Arial"/>
          <w:color w:val="000000"/>
        </w:rPr>
        <w:t xml:space="preserve">the right to reproductive health care. Connecticut affirmatively codified the right to abortion in state statute in 1990. Connecticut’s Equal Rights </w:t>
      </w:r>
      <w:r w:rsidRPr="00F5462F">
        <w:rPr>
          <w:rStyle w:val="normaltextrun"/>
          <w:rFonts w:ascii="Century Schoolbook" w:hAnsi="Century Schoolbook" w:cs="Arial"/>
          <w:color w:val="000000"/>
        </w:rPr>
        <w:lastRenderedPageBreak/>
        <w:t>Amendment’s protections are stronger than the federal Constitution by its explicit inclusion of prohibiting discrimination based on “sex.”</w:t>
      </w:r>
      <w:r w:rsidR="00DD4487">
        <w:rPr>
          <w:rStyle w:val="FootnoteReference"/>
          <w:rFonts w:ascii="Century Schoolbook" w:hAnsi="Century Schoolbook" w:cs="Arial"/>
          <w:color w:val="000000"/>
        </w:rPr>
        <w:footnoteReference w:id="1"/>
      </w:r>
      <w:r w:rsidRPr="00F5462F">
        <w:rPr>
          <w:rStyle w:val="normaltextrun"/>
          <w:rFonts w:ascii="Century Schoolbook" w:hAnsi="Century Schoolbook" w:cs="Arial"/>
          <w:color w:val="000000"/>
        </w:rPr>
        <w:t xml:space="preserve"> Similarly, the Connecticut Superior Court </w:t>
      </w:r>
      <w:r>
        <w:rPr>
          <w:rStyle w:val="normaltextrun"/>
          <w:rFonts w:ascii="Century Schoolbook" w:hAnsi="Century Schoolbook" w:cs="Arial"/>
          <w:color w:val="000000"/>
        </w:rPr>
        <w:t xml:space="preserve">found in </w:t>
      </w:r>
      <w:r>
        <w:rPr>
          <w:rStyle w:val="normaltextrun"/>
          <w:rFonts w:ascii="Century Schoolbook" w:hAnsi="Century Schoolbook" w:cs="Arial"/>
          <w:i/>
          <w:color w:val="000000"/>
        </w:rPr>
        <w:t>Doe v. Maher</w:t>
      </w:r>
      <w:r>
        <w:rPr>
          <w:rStyle w:val="normaltextrun"/>
          <w:rFonts w:ascii="Century Schoolbook" w:hAnsi="Century Schoolbook" w:cs="Arial"/>
          <w:color w:val="000000"/>
        </w:rPr>
        <w:t xml:space="preserve"> that abortion access is both a privacy right and a fundamental part of gender equality under the state’s Equal Rights Amendment (“ERA”).</w:t>
      </w:r>
      <w:r>
        <w:rPr>
          <w:rStyle w:val="FootnoteReference"/>
          <w:rFonts w:ascii="Century Schoolbook" w:hAnsi="Century Schoolbook" w:cs="Arial"/>
          <w:color w:val="000000"/>
        </w:rPr>
        <w:footnoteReference w:id="2"/>
      </w:r>
      <w:r>
        <w:rPr>
          <w:rStyle w:val="normaltextrun"/>
          <w:rFonts w:ascii="Century Schoolbook" w:hAnsi="Century Schoolbook" w:cs="Arial"/>
          <w:color w:val="000000"/>
        </w:rPr>
        <w:t xml:space="preserve"> </w:t>
      </w:r>
      <w:r w:rsidR="0039755B">
        <w:rPr>
          <w:rStyle w:val="normaltextrun"/>
          <w:rFonts w:ascii="Century Schoolbook" w:hAnsi="Century Schoolbook" w:cs="Arial"/>
          <w:color w:val="000000"/>
        </w:rPr>
        <w:t xml:space="preserve">When the court invalidated the restrictions on the use of state funds for medically necessary abortions, the court found that pregnancy discrimination is a form of sex discrimination prohibited under the state ERA and is subject to strict scrutiny review. </w:t>
      </w:r>
      <w:r w:rsidRPr="00F5462F">
        <w:rPr>
          <w:rStyle w:val="normaltextrun"/>
          <w:rFonts w:ascii="Century Schoolbook" w:hAnsi="Century Schoolbook" w:cs="Arial"/>
          <w:color w:val="000000"/>
        </w:rPr>
        <w:t xml:space="preserve">The 2022 General Assembly </w:t>
      </w:r>
      <w:r w:rsidR="0039755B">
        <w:rPr>
          <w:rStyle w:val="normaltextrun"/>
          <w:rFonts w:ascii="Century Schoolbook" w:hAnsi="Century Schoolbook" w:cs="Arial"/>
          <w:color w:val="000000"/>
        </w:rPr>
        <w:t>led the nation on</w:t>
      </w:r>
      <w:r w:rsidRPr="00F5462F">
        <w:rPr>
          <w:rStyle w:val="normaltextrun"/>
          <w:rFonts w:ascii="Century Schoolbook" w:hAnsi="Century Schoolbook" w:cs="Arial"/>
          <w:color w:val="000000"/>
        </w:rPr>
        <w:t xml:space="preserve"> abortion protections </w:t>
      </w:r>
      <w:r w:rsidR="0039755B">
        <w:rPr>
          <w:rStyle w:val="normaltextrun"/>
          <w:rFonts w:ascii="Century Schoolbook" w:hAnsi="Century Schoolbook" w:cs="Arial"/>
          <w:color w:val="000000"/>
        </w:rPr>
        <w:t>by passing the first shield law,</w:t>
      </w:r>
      <w:r w:rsidRPr="00F5462F">
        <w:rPr>
          <w:rStyle w:val="normaltextrun"/>
          <w:rFonts w:ascii="Century Schoolbook" w:hAnsi="Century Schoolbook" w:cs="Arial"/>
          <w:color w:val="000000"/>
        </w:rPr>
        <w:t xml:space="preserve"> the Reproductive Freedom Defense Act, which protects patients and providers from targeted legal attacks by anti-choice extremists in other states with radical and archaic abortion bans</w:t>
      </w:r>
      <w:r w:rsidR="00BD6283">
        <w:rPr>
          <w:rStyle w:val="normaltextrun"/>
          <w:rFonts w:ascii="Century Schoolbook" w:hAnsi="Century Schoolbook" w:cs="Arial"/>
          <w:color w:val="000000"/>
        </w:rPr>
        <w:t>.</w:t>
      </w:r>
    </w:p>
    <w:p w14:paraId="22590552" w14:textId="4C2DEB09" w:rsidR="00BD6283" w:rsidRDefault="00BD6283" w:rsidP="00F5462F">
      <w:pPr>
        <w:pStyle w:val="paragraph"/>
        <w:spacing w:before="0" w:beforeAutospacing="0" w:after="0" w:afterAutospacing="0" w:line="360" w:lineRule="auto"/>
        <w:jc w:val="both"/>
        <w:textAlignment w:val="baseline"/>
        <w:rPr>
          <w:rFonts w:ascii="Century Schoolbook" w:hAnsi="Century Schoolbook" w:cs="Arial"/>
          <w:color w:val="000000"/>
        </w:rPr>
      </w:pPr>
    </w:p>
    <w:p w14:paraId="189EA6B7" w14:textId="6180C4C6" w:rsidR="00BD6283" w:rsidRPr="00BD6283" w:rsidRDefault="00BD6283" w:rsidP="00F5462F">
      <w:pPr>
        <w:pStyle w:val="paragraph"/>
        <w:spacing w:before="0" w:beforeAutospacing="0" w:after="0" w:afterAutospacing="0" w:line="360" w:lineRule="auto"/>
        <w:jc w:val="both"/>
        <w:textAlignment w:val="baseline"/>
        <w:rPr>
          <w:rFonts w:ascii="Century Schoolbook" w:hAnsi="Century Schoolbook" w:cs="Arial"/>
          <w:color w:val="000000"/>
        </w:rPr>
      </w:pPr>
      <w:r>
        <w:rPr>
          <w:rFonts w:ascii="Century Schoolbook" w:hAnsi="Century Schoolbook" w:cs="Arial"/>
          <w:color w:val="000000"/>
        </w:rPr>
        <w:t xml:space="preserve">At the same time, Connecticut has a history of supporting LGBTQ+ rights and gender equality. In 1991, the General Assembly passed a law forbidding discrimination on the basis of sexual orientation, which was signed into law by Governor Lowell </w:t>
      </w:r>
      <w:proofErr w:type="spellStart"/>
      <w:r>
        <w:rPr>
          <w:rFonts w:ascii="Century Schoolbook" w:hAnsi="Century Schoolbook" w:cs="Arial"/>
          <w:color w:val="000000"/>
        </w:rPr>
        <w:t>Weicker</w:t>
      </w:r>
      <w:proofErr w:type="spellEnd"/>
      <w:r>
        <w:rPr>
          <w:rFonts w:ascii="Century Schoolbook" w:hAnsi="Century Schoolbook" w:cs="Arial"/>
          <w:color w:val="000000"/>
        </w:rPr>
        <w:t xml:space="preserve">. Then, in 2005, Connecticut legalized civil unions for same-sex couples. Four years later, Connecticut became the third state to legalize same-sex marriage in </w:t>
      </w:r>
      <w:r>
        <w:rPr>
          <w:rFonts w:ascii="Century Schoolbook" w:hAnsi="Century Schoolbook" w:cs="Arial"/>
          <w:i/>
          <w:color w:val="000000"/>
        </w:rPr>
        <w:t>Kerrigan v. Commissioner of Public Health</w:t>
      </w:r>
      <w:r w:rsidR="00DF30AB">
        <w:rPr>
          <w:rFonts w:ascii="Century Schoolbook" w:hAnsi="Century Schoolbook" w:cs="Arial"/>
          <w:color w:val="000000"/>
        </w:rPr>
        <w:t>, then affirmed by this legislature in statute</w:t>
      </w:r>
      <w:r>
        <w:rPr>
          <w:rFonts w:ascii="Century Schoolbook" w:hAnsi="Century Schoolbook" w:cs="Arial"/>
          <w:color w:val="000000"/>
        </w:rPr>
        <w:t xml:space="preserve">. In that case, the Connecticut Supreme Court found that the state’s constitution guarantees the right to marry for same-sex couples. While sexual orientation does not explicitly appear in the state constitution, the court found </w:t>
      </w:r>
      <w:r w:rsidR="00DF30AB">
        <w:rPr>
          <w:rFonts w:ascii="Century Schoolbook" w:hAnsi="Century Schoolbook" w:cs="Arial"/>
          <w:color w:val="000000"/>
        </w:rPr>
        <w:t xml:space="preserve">it to be a quasi-suspect class under the Equal Rights Amendment. When the General Assembly followed up the decision with legislation, it passed </w:t>
      </w:r>
      <w:r w:rsidR="007768B8">
        <w:rPr>
          <w:rFonts w:ascii="Century Schoolbook" w:hAnsi="Century Schoolbook" w:cs="Arial"/>
          <w:color w:val="000000"/>
        </w:rPr>
        <w:t>with</w:t>
      </w:r>
      <w:r w:rsidR="00DF30AB">
        <w:rPr>
          <w:rFonts w:ascii="Century Schoolbook" w:hAnsi="Century Schoolbook" w:cs="Arial"/>
          <w:color w:val="000000"/>
        </w:rPr>
        <w:t xml:space="preserve"> bipartisan </w:t>
      </w:r>
      <w:r w:rsidR="007768B8">
        <w:rPr>
          <w:rFonts w:ascii="Century Schoolbook" w:hAnsi="Century Schoolbook" w:cs="Arial"/>
          <w:color w:val="000000"/>
        </w:rPr>
        <w:t>support</w:t>
      </w:r>
      <w:r w:rsidR="00337625">
        <w:rPr>
          <w:rFonts w:ascii="Century Schoolbook" w:hAnsi="Century Schoolbook" w:cs="Arial"/>
          <w:color w:val="000000"/>
        </w:rPr>
        <w:t>—</w:t>
      </w:r>
      <w:r w:rsidR="00DF30AB">
        <w:rPr>
          <w:rFonts w:ascii="Century Schoolbook" w:hAnsi="Century Schoolbook" w:cs="Arial"/>
          <w:color w:val="000000"/>
        </w:rPr>
        <w:t xml:space="preserve">100-44 in the House and 28-7 in the Senate and was then signed into law by Governor Jodi </w:t>
      </w:r>
      <w:proofErr w:type="spellStart"/>
      <w:r w:rsidR="00DF30AB">
        <w:rPr>
          <w:rFonts w:ascii="Century Schoolbook" w:hAnsi="Century Schoolbook" w:cs="Arial"/>
          <w:color w:val="000000"/>
        </w:rPr>
        <w:t>Rell</w:t>
      </w:r>
      <w:proofErr w:type="spellEnd"/>
      <w:r w:rsidR="00DF30AB">
        <w:rPr>
          <w:rFonts w:ascii="Century Schoolbook" w:hAnsi="Century Schoolbook" w:cs="Arial"/>
          <w:color w:val="000000"/>
        </w:rPr>
        <w:t>.</w:t>
      </w:r>
    </w:p>
    <w:p w14:paraId="0BEC4B45" w14:textId="3F25074C" w:rsidR="00F5462F" w:rsidRPr="00F5462F" w:rsidRDefault="00F5462F" w:rsidP="00F5462F">
      <w:pPr>
        <w:pStyle w:val="paragraph"/>
        <w:spacing w:before="0" w:beforeAutospacing="0" w:after="0" w:afterAutospacing="0" w:line="360" w:lineRule="auto"/>
        <w:jc w:val="both"/>
        <w:textAlignment w:val="baseline"/>
        <w:rPr>
          <w:rFonts w:ascii="Arial" w:hAnsi="Arial" w:cs="Arial"/>
        </w:rPr>
      </w:pPr>
      <w:r w:rsidRPr="00F5462F">
        <w:rPr>
          <w:rStyle w:val="eop"/>
          <w:rFonts w:ascii="Calibri" w:hAnsi="Calibri" w:cs="Calibri"/>
        </w:rPr>
        <w:t> </w:t>
      </w:r>
      <w:r w:rsidRPr="00F5462F">
        <w:rPr>
          <w:rStyle w:val="eop"/>
          <w:rFonts w:ascii="Century Schoolbook" w:hAnsi="Century Schoolbook" w:cs="Arial"/>
        </w:rPr>
        <w:t> </w:t>
      </w:r>
    </w:p>
    <w:p w14:paraId="2B0959B5" w14:textId="515C5066" w:rsidR="00F5462F" w:rsidRPr="00A55D56" w:rsidRDefault="00DF30AB" w:rsidP="00F5462F">
      <w:pPr>
        <w:pStyle w:val="paragraph"/>
        <w:spacing w:before="0" w:beforeAutospacing="0" w:after="0" w:afterAutospacing="0" w:line="360" w:lineRule="auto"/>
        <w:jc w:val="both"/>
        <w:textAlignment w:val="baseline"/>
        <w:rPr>
          <w:rFonts w:ascii="Century Schoolbook" w:hAnsi="Century Schoolbook" w:cs="Arial"/>
          <w:color w:val="000000"/>
        </w:rPr>
      </w:pPr>
      <w:r>
        <w:rPr>
          <w:rStyle w:val="normaltextrun"/>
          <w:rFonts w:ascii="Century Schoolbook" w:hAnsi="Century Schoolbook" w:cs="Arial"/>
          <w:color w:val="000000"/>
        </w:rPr>
        <w:t xml:space="preserve">We are witnessing </w:t>
      </w:r>
      <w:r w:rsidR="00DD650F">
        <w:rPr>
          <w:rStyle w:val="normaltextrun"/>
          <w:rFonts w:ascii="Century Schoolbook" w:hAnsi="Century Schoolbook" w:cs="Arial"/>
          <w:color w:val="000000"/>
        </w:rPr>
        <w:t>existential</w:t>
      </w:r>
      <w:r>
        <w:rPr>
          <w:rStyle w:val="normaltextrun"/>
          <w:rFonts w:ascii="Century Schoolbook" w:hAnsi="Century Schoolbook" w:cs="Arial"/>
          <w:color w:val="000000"/>
        </w:rPr>
        <w:t xml:space="preserve"> threats to civil rights and liberties in America, including </w:t>
      </w:r>
      <w:r w:rsidR="00DD650F">
        <w:rPr>
          <w:rStyle w:val="normaltextrun"/>
          <w:rFonts w:ascii="Century Schoolbook" w:hAnsi="Century Schoolbook" w:cs="Arial"/>
          <w:color w:val="000000"/>
        </w:rPr>
        <w:t>regressive</w:t>
      </w:r>
      <w:r w:rsidR="00337625">
        <w:rPr>
          <w:rStyle w:val="normaltextrun"/>
          <w:rFonts w:ascii="Century Schoolbook" w:hAnsi="Century Schoolbook" w:cs="Arial"/>
          <w:color w:val="000000"/>
        </w:rPr>
        <w:t xml:space="preserve"> </w:t>
      </w:r>
      <w:r>
        <w:rPr>
          <w:rStyle w:val="normaltextrun"/>
          <w:rFonts w:ascii="Century Schoolbook" w:hAnsi="Century Schoolbook" w:cs="Arial"/>
          <w:color w:val="000000"/>
        </w:rPr>
        <w:t xml:space="preserve">attacks on reproductive health care and gender equality. </w:t>
      </w:r>
      <w:r w:rsidR="00DD650F">
        <w:rPr>
          <w:rStyle w:val="normaltextrun"/>
          <w:rFonts w:ascii="Century Schoolbook" w:hAnsi="Century Schoolbook" w:cs="Arial"/>
          <w:color w:val="000000"/>
        </w:rPr>
        <w:t xml:space="preserve">The </w:t>
      </w:r>
      <w:r w:rsidR="00DD650F">
        <w:rPr>
          <w:rStyle w:val="normaltextrun"/>
          <w:rFonts w:ascii="Century Schoolbook" w:hAnsi="Century Schoolbook" w:cs="Arial"/>
          <w:color w:val="000000"/>
        </w:rPr>
        <w:lastRenderedPageBreak/>
        <w:t xml:space="preserve">decision to overturn </w:t>
      </w:r>
      <w:r w:rsidR="00DD650F" w:rsidRPr="00DD650F">
        <w:rPr>
          <w:rStyle w:val="normaltextrun"/>
          <w:rFonts w:ascii="Century Schoolbook" w:hAnsi="Century Schoolbook" w:cs="Arial"/>
          <w:i/>
          <w:color w:val="000000"/>
        </w:rPr>
        <w:t>Roe</w:t>
      </w:r>
      <w:r w:rsidR="00DD650F">
        <w:rPr>
          <w:rStyle w:val="normaltextrun"/>
          <w:rFonts w:ascii="Century Schoolbook" w:hAnsi="Century Schoolbook" w:cs="Arial"/>
          <w:color w:val="000000"/>
        </w:rPr>
        <w:t xml:space="preserve"> directly caused a devastating public health and civil liberties crisis. </w:t>
      </w:r>
      <w:r w:rsidR="00E92E56">
        <w:rPr>
          <w:rStyle w:val="normaltextrun"/>
          <w:rFonts w:ascii="Century Schoolbook" w:hAnsi="Century Schoolbook" w:cs="Arial"/>
          <w:color w:val="000000"/>
        </w:rPr>
        <w:t>F</w:t>
      </w:r>
      <w:r w:rsidR="00DD650F">
        <w:rPr>
          <w:rStyle w:val="normaltextrun"/>
          <w:rFonts w:ascii="Century Schoolbook" w:hAnsi="Century Schoolbook" w:cs="Arial"/>
          <w:color w:val="000000"/>
        </w:rPr>
        <w:t xml:space="preserve">ourteen states have entirely banned abortion, and many more have made abortion functionally unavailable by criminalizing abortion after only a few weeks of pregnancy, before most people know that they are pregnant. </w:t>
      </w:r>
      <w:r w:rsidR="0034315E" w:rsidRPr="00DD650F">
        <w:rPr>
          <w:rStyle w:val="normaltextrun"/>
          <w:rFonts w:ascii="Century Schoolbook" w:hAnsi="Century Schoolbook" w:cs="Arial"/>
          <w:color w:val="000000"/>
        </w:rPr>
        <w:t>In</w:t>
      </w:r>
      <w:r w:rsidR="0034315E">
        <w:rPr>
          <w:rStyle w:val="normaltextrun"/>
          <w:rFonts w:ascii="Century Schoolbook" w:hAnsi="Century Schoolbook" w:cs="Arial"/>
          <w:color w:val="000000"/>
        </w:rPr>
        <w:t xml:space="preserve"> 2024</w:t>
      </w:r>
      <w:r>
        <w:rPr>
          <w:rStyle w:val="normaltextrun"/>
          <w:rFonts w:ascii="Century Schoolbook" w:hAnsi="Century Schoolbook" w:cs="Arial"/>
          <w:color w:val="000000"/>
        </w:rPr>
        <w:t>,</w:t>
      </w:r>
      <w:r w:rsidR="0034315E">
        <w:rPr>
          <w:rStyle w:val="normaltextrun"/>
          <w:rFonts w:ascii="Century Schoolbook" w:hAnsi="Century Schoolbook" w:cs="Arial"/>
          <w:color w:val="000000"/>
        </w:rPr>
        <w:t xml:space="preserve"> 843 provisions were introduced to restrict reproductive rights and health care,</w:t>
      </w:r>
      <w:r w:rsidR="0034315E">
        <w:rPr>
          <w:rStyle w:val="FootnoteReference"/>
          <w:rFonts w:ascii="Century Schoolbook" w:hAnsi="Century Schoolbook" w:cs="Arial"/>
          <w:color w:val="000000"/>
        </w:rPr>
        <w:footnoteReference w:id="3"/>
      </w:r>
      <w:r w:rsidR="0034315E">
        <w:rPr>
          <w:rStyle w:val="normaltextrun"/>
          <w:rFonts w:ascii="Century Schoolbook" w:hAnsi="Century Schoolbook" w:cs="Arial"/>
          <w:color w:val="000000"/>
        </w:rPr>
        <w:t xml:space="preserve"> while at the same time, there were 533 anti-LGBTQ+ bills introduced across the country.</w:t>
      </w:r>
      <w:r w:rsidR="0034315E">
        <w:rPr>
          <w:rStyle w:val="FootnoteReference"/>
          <w:rFonts w:ascii="Century Schoolbook" w:hAnsi="Century Schoolbook" w:cs="Arial"/>
          <w:color w:val="000000"/>
        </w:rPr>
        <w:footnoteReference w:id="4"/>
      </w:r>
      <w:r w:rsidR="00A55D56">
        <w:rPr>
          <w:rStyle w:val="normaltextrun"/>
          <w:rFonts w:ascii="Century Schoolbook" w:hAnsi="Century Schoolbook" w:cs="Arial"/>
          <w:color w:val="000000"/>
        </w:rPr>
        <w:t xml:space="preserve"> Currently,</w:t>
      </w:r>
      <w:r w:rsidR="00DD4487">
        <w:rPr>
          <w:rStyle w:val="normaltextrun"/>
          <w:rFonts w:ascii="Century Schoolbook" w:hAnsi="Century Schoolbook" w:cs="Arial"/>
          <w:color w:val="000000"/>
        </w:rPr>
        <w:t xml:space="preserve"> 21</w:t>
      </w:r>
      <w:r w:rsidR="00A55D56">
        <w:rPr>
          <w:rStyle w:val="normaltextrun"/>
          <w:rFonts w:ascii="Century Schoolbook" w:hAnsi="Century Schoolbook" w:cs="Arial"/>
          <w:color w:val="000000"/>
        </w:rPr>
        <w:t xml:space="preserve"> states ban some or all abortions and</w:t>
      </w:r>
      <w:r w:rsidR="0021174F">
        <w:rPr>
          <w:rStyle w:val="normaltextrun"/>
          <w:rFonts w:ascii="Century Schoolbook" w:hAnsi="Century Schoolbook" w:cs="Arial"/>
          <w:color w:val="000000"/>
        </w:rPr>
        <w:t xml:space="preserve"> 2</w:t>
      </w:r>
      <w:r w:rsidR="00DD4487">
        <w:rPr>
          <w:rStyle w:val="normaltextrun"/>
          <w:rFonts w:ascii="Century Schoolbook" w:hAnsi="Century Schoolbook" w:cs="Arial"/>
          <w:color w:val="000000"/>
        </w:rPr>
        <w:t>6</w:t>
      </w:r>
      <w:r w:rsidR="0021174F">
        <w:rPr>
          <w:rStyle w:val="normaltextrun"/>
          <w:rFonts w:ascii="Century Schoolbook" w:hAnsi="Century Schoolbook" w:cs="Arial"/>
          <w:color w:val="000000"/>
        </w:rPr>
        <w:t xml:space="preserve"> </w:t>
      </w:r>
      <w:r w:rsidR="00A55D56">
        <w:rPr>
          <w:rStyle w:val="normaltextrun"/>
          <w:rFonts w:ascii="Century Schoolbook" w:hAnsi="Century Schoolbook" w:cs="Arial"/>
          <w:color w:val="000000"/>
        </w:rPr>
        <w:t xml:space="preserve">states </w:t>
      </w:r>
      <w:r w:rsidR="0021174F">
        <w:rPr>
          <w:rStyle w:val="normaltextrun"/>
          <w:rFonts w:ascii="Century Schoolbook" w:hAnsi="Century Schoolbook" w:cs="Arial"/>
          <w:color w:val="000000"/>
        </w:rPr>
        <w:t>categorically ban</w:t>
      </w:r>
      <w:r w:rsidR="00A55D56">
        <w:rPr>
          <w:rStyle w:val="normaltextrun"/>
          <w:rFonts w:ascii="Century Schoolbook" w:hAnsi="Century Schoolbook" w:cs="Arial"/>
          <w:color w:val="000000"/>
        </w:rPr>
        <w:t xml:space="preserve"> gender-affirming care</w:t>
      </w:r>
      <w:r w:rsidR="0021174F">
        <w:rPr>
          <w:rStyle w:val="normaltextrun"/>
          <w:rFonts w:ascii="Century Schoolbook" w:hAnsi="Century Schoolbook" w:cs="Arial"/>
          <w:color w:val="000000"/>
        </w:rPr>
        <w:t xml:space="preserve"> for minors</w:t>
      </w:r>
      <w:r w:rsidR="00A55D56">
        <w:rPr>
          <w:rStyle w:val="normaltextrun"/>
          <w:rFonts w:ascii="Century Schoolbook" w:hAnsi="Century Schoolbook" w:cs="Arial"/>
          <w:color w:val="000000"/>
        </w:rPr>
        <w:t xml:space="preserve">. </w:t>
      </w:r>
      <w:r w:rsidR="00DD650F">
        <w:rPr>
          <w:rStyle w:val="normaltextrun"/>
          <w:rFonts w:ascii="Century Schoolbook" w:hAnsi="Century Schoolbook" w:cs="Arial"/>
          <w:color w:val="000000"/>
        </w:rPr>
        <w:t xml:space="preserve">Now, millions of people live hundreds of miles away from their closest providers of abortions or gender-affirming care. Hundreds of thousands of people have already traveled </w:t>
      </w:r>
      <w:r w:rsidR="003E5332">
        <w:rPr>
          <w:rStyle w:val="normaltextrun"/>
          <w:rFonts w:ascii="Century Schoolbook" w:hAnsi="Century Schoolbook" w:cs="Arial"/>
          <w:color w:val="000000"/>
        </w:rPr>
        <w:t>outside of their state, including to Connecticut, to get the care they need. We have continued to see attacks on reproductive health care and rights from the federal government and states—from abortion, family planning, contraception, IVF, and gender-affirming care. At the same time, the Trump administration targeted the LGBTQ+ community</w:t>
      </w:r>
      <w:r w:rsidR="0021174F">
        <w:rPr>
          <w:rStyle w:val="normaltextrun"/>
          <w:rFonts w:ascii="Century Schoolbook" w:hAnsi="Century Schoolbook" w:cs="Arial"/>
          <w:color w:val="000000"/>
        </w:rPr>
        <w:t xml:space="preserve"> from the moment he stepped into office by </w:t>
      </w:r>
      <w:r w:rsidR="00E92E56">
        <w:rPr>
          <w:rStyle w:val="normaltextrun"/>
          <w:rFonts w:ascii="Century Schoolbook" w:hAnsi="Century Schoolbook" w:cs="Arial"/>
          <w:color w:val="000000"/>
        </w:rPr>
        <w:t>supporting a bevy of policies that relentlessly harm LGBTQ+ people and their families and threaten their rights, safety, and fundamental freedom to exist.</w:t>
      </w:r>
      <w:r w:rsidR="0021174F">
        <w:rPr>
          <w:rStyle w:val="normaltextrun"/>
          <w:rFonts w:ascii="Century Schoolbook" w:hAnsi="Century Schoolbook" w:cs="Arial"/>
          <w:color w:val="000000"/>
        </w:rPr>
        <w:t xml:space="preserve"> </w:t>
      </w:r>
      <w:r w:rsidR="00F5462F" w:rsidRPr="00F5462F">
        <w:rPr>
          <w:rStyle w:val="normaltextrun"/>
          <w:rFonts w:ascii="Century Schoolbook" w:hAnsi="Century Schoolbook" w:cs="Arial"/>
          <w:color w:val="000000"/>
        </w:rPr>
        <w:t>As politicians across the country deny our freedom, obstruct access to reproductive care, and threaten other substantive due process rights, the ACLU-CT is grateful to this Committee for continuing to prioritize access for our state’s residents.</w:t>
      </w:r>
      <w:r w:rsidR="00F5462F" w:rsidRPr="00F5462F">
        <w:rPr>
          <w:rStyle w:val="eop"/>
          <w:rFonts w:ascii="Century Schoolbook" w:hAnsi="Century Schoolbook" w:cs="Arial"/>
          <w:color w:val="000000"/>
        </w:rPr>
        <w:t> </w:t>
      </w:r>
      <w:r w:rsidR="00F5462F">
        <w:rPr>
          <w:rStyle w:val="eop"/>
          <w:rFonts w:ascii="Century Schoolbook" w:hAnsi="Century Schoolbook" w:cs="Arial"/>
          <w:color w:val="000000"/>
        </w:rPr>
        <w:t xml:space="preserve">Senate Joint Resolution 35 is a crucial moment for Connecticut to reinforce its constitutional protections </w:t>
      </w:r>
      <w:r w:rsidR="00BD6283">
        <w:rPr>
          <w:rStyle w:val="eop"/>
          <w:rFonts w:ascii="Century Schoolbook" w:hAnsi="Century Schoolbook" w:cs="Arial"/>
          <w:color w:val="000000"/>
        </w:rPr>
        <w:t>that builds on the state’s existing legal framework by enshrining a comprehensive guarantee of personal liberty and gender equality.</w:t>
      </w:r>
    </w:p>
    <w:p w14:paraId="2D016EEE" w14:textId="77777777" w:rsidR="00F5462F" w:rsidRPr="00F5462F" w:rsidRDefault="00F5462F" w:rsidP="00F5462F">
      <w:pPr>
        <w:pStyle w:val="paragraph"/>
        <w:spacing w:before="0" w:beforeAutospacing="0" w:after="0" w:afterAutospacing="0" w:line="360" w:lineRule="auto"/>
        <w:jc w:val="both"/>
        <w:textAlignment w:val="baseline"/>
        <w:rPr>
          <w:rFonts w:ascii="Arial" w:hAnsi="Arial" w:cs="Arial"/>
        </w:rPr>
      </w:pPr>
    </w:p>
    <w:p w14:paraId="65066E1C" w14:textId="28B9751E" w:rsidR="00A55D56" w:rsidRPr="009D7874" w:rsidRDefault="00F5462F" w:rsidP="00A55D56">
      <w:pPr>
        <w:spacing w:line="360" w:lineRule="auto"/>
        <w:jc w:val="both"/>
        <w:rPr>
          <w:rFonts w:ascii="Century Schoolbook" w:eastAsia="Times New Roman" w:hAnsi="Century Schoolbook" w:cs="Arial"/>
          <w:color w:val="000000"/>
        </w:rPr>
      </w:pPr>
      <w:r w:rsidRPr="00F5462F">
        <w:rPr>
          <w:rStyle w:val="normaltextrun"/>
          <w:rFonts w:ascii="Century Schoolbook" w:hAnsi="Century Schoolbook" w:cs="Arial"/>
          <w:color w:val="000000"/>
        </w:rPr>
        <w:t>Everyone deserves access to reproductive health care in their community, on the timeline they choose, and by the provider they trust.</w:t>
      </w:r>
      <w:r w:rsidR="003F5FB4">
        <w:rPr>
          <w:rStyle w:val="normaltextrun"/>
          <w:rFonts w:ascii="Century Schoolbook" w:hAnsi="Century Schoolbook" w:cs="Arial"/>
          <w:color w:val="000000"/>
        </w:rPr>
        <w:t xml:space="preserve"> </w:t>
      </w:r>
      <w:r w:rsidR="00A55D56" w:rsidRPr="0062668D">
        <w:rPr>
          <w:rFonts w:ascii="Century Schoolbook" w:eastAsia="Times New Roman" w:hAnsi="Century Schoolbook" w:cs="Arial"/>
          <w:color w:val="000000"/>
        </w:rPr>
        <w:t xml:space="preserve">Access to </w:t>
      </w:r>
      <w:r w:rsidR="009D7874">
        <w:rPr>
          <w:rFonts w:ascii="Century Schoolbook" w:eastAsia="Times New Roman" w:hAnsi="Century Schoolbook" w:cs="Arial"/>
          <w:color w:val="000000"/>
        </w:rPr>
        <w:t xml:space="preserve">reproductive health care, including </w:t>
      </w:r>
      <w:r w:rsidR="00A55D56" w:rsidRPr="0062668D">
        <w:rPr>
          <w:rFonts w:ascii="Century Schoolbook" w:eastAsia="Times New Roman" w:hAnsi="Century Schoolbook" w:cs="Arial"/>
          <w:color w:val="000000"/>
        </w:rPr>
        <w:t>abortion</w:t>
      </w:r>
      <w:r w:rsidR="009D7874">
        <w:rPr>
          <w:rFonts w:ascii="Century Schoolbook" w:eastAsia="Times New Roman" w:hAnsi="Century Schoolbook" w:cs="Arial"/>
          <w:color w:val="000000"/>
        </w:rPr>
        <w:t xml:space="preserve"> and gender-affirming care,</w:t>
      </w:r>
      <w:r w:rsidR="00A55D56" w:rsidRPr="0062668D">
        <w:rPr>
          <w:rFonts w:ascii="Century Schoolbook" w:eastAsia="Times New Roman" w:hAnsi="Century Schoolbook" w:cs="Arial"/>
          <w:color w:val="000000"/>
        </w:rPr>
        <w:t xml:space="preserve"> is not just about its legality; but it is also about humanity, dignity, and freedom. As the U.S. Supreme Court </w:t>
      </w:r>
      <w:r w:rsidR="00A55D56" w:rsidRPr="0062668D">
        <w:rPr>
          <w:rFonts w:ascii="Century Schoolbook" w:eastAsia="Times New Roman" w:hAnsi="Century Schoolbook" w:cs="Arial"/>
          <w:color w:val="000000"/>
        </w:rPr>
        <w:lastRenderedPageBreak/>
        <w:t>abandoned nearly fifty years of precedent on reproductive rights, a lack of access to reproductive health services is already threatening people’s lives and futures across the country. People across the country have been forced to remain pregnant against their will, endangering their mental and physical health, their lives and futures, and their family’s lives and futures.</w:t>
      </w:r>
      <w:r w:rsidR="009D7874">
        <w:rPr>
          <w:rFonts w:ascii="Century Schoolbook" w:eastAsia="Times New Roman" w:hAnsi="Century Schoolbook" w:cs="Arial"/>
          <w:color w:val="000000"/>
        </w:rPr>
        <w:t xml:space="preserve"> </w:t>
      </w:r>
      <w:r w:rsidR="00A55D56" w:rsidRPr="0062668D">
        <w:rPr>
          <w:rFonts w:ascii="Century Schoolbook" w:eastAsia="Times New Roman" w:hAnsi="Century Schoolbook" w:cs="Arial"/>
          <w:color w:val="000000"/>
        </w:rPr>
        <w:t xml:space="preserve">Justice Thomas’s concurring opinion </w:t>
      </w:r>
      <w:r w:rsidR="00224B76">
        <w:rPr>
          <w:rFonts w:ascii="Century Schoolbook" w:eastAsia="Times New Roman" w:hAnsi="Century Schoolbook" w:cs="Arial"/>
          <w:color w:val="000000"/>
        </w:rPr>
        <w:t xml:space="preserve">in </w:t>
      </w:r>
      <w:r w:rsidR="00224B76">
        <w:rPr>
          <w:rFonts w:ascii="Century Schoolbook" w:eastAsia="Times New Roman" w:hAnsi="Century Schoolbook" w:cs="Arial"/>
          <w:i/>
          <w:color w:val="000000"/>
        </w:rPr>
        <w:t xml:space="preserve">Dobbs </w:t>
      </w:r>
      <w:r w:rsidR="00A55D56" w:rsidRPr="0062668D">
        <w:rPr>
          <w:rFonts w:ascii="Century Schoolbook" w:eastAsia="Times New Roman" w:hAnsi="Century Schoolbook" w:cs="Arial"/>
          <w:color w:val="000000"/>
        </w:rPr>
        <w:t>paints a dark picture, urging the Court to reconsider all its substantive due process precedents, specifically naming cases that protect the right to choose who one marries, whether to use contraception, and the ability to have consensual sex with partners of their choosing.</w:t>
      </w:r>
      <w:r w:rsidR="00A55D56">
        <w:rPr>
          <w:rStyle w:val="FootnoteReference"/>
          <w:rFonts w:ascii="Century Schoolbook" w:hAnsi="Century Schoolbook"/>
          <w:noProof/>
        </w:rPr>
        <w:footnoteReference w:id="5"/>
      </w:r>
      <w:r w:rsidR="00A55D56" w:rsidRPr="0062668D">
        <w:rPr>
          <w:rFonts w:ascii="Century Schoolbook" w:eastAsia="Times New Roman" w:hAnsi="Century Schoolbook" w:cs="Arial"/>
          <w:color w:val="000000"/>
        </w:rPr>
        <w:t xml:space="preserve"> </w:t>
      </w:r>
      <w:r w:rsidR="00224B76">
        <w:rPr>
          <w:rFonts w:ascii="Century Schoolbook" w:eastAsia="Times New Roman" w:hAnsi="Century Schoolbook" w:cs="Arial"/>
          <w:color w:val="000000"/>
        </w:rPr>
        <w:t xml:space="preserve">In the years since the </w:t>
      </w:r>
      <w:r w:rsidR="00224B76">
        <w:rPr>
          <w:rFonts w:ascii="Century Schoolbook" w:eastAsia="Times New Roman" w:hAnsi="Century Schoolbook" w:cs="Arial"/>
          <w:i/>
          <w:color w:val="000000"/>
        </w:rPr>
        <w:t>Dobbs</w:t>
      </w:r>
      <w:r w:rsidR="00224B76">
        <w:rPr>
          <w:rFonts w:ascii="Century Schoolbook" w:eastAsia="Times New Roman" w:hAnsi="Century Schoolbook" w:cs="Arial"/>
          <w:color w:val="000000"/>
        </w:rPr>
        <w:t xml:space="preserve"> decision, </w:t>
      </w:r>
      <w:r w:rsidR="009D7874">
        <w:rPr>
          <w:rFonts w:ascii="Century Schoolbook" w:eastAsia="Times New Roman" w:hAnsi="Century Schoolbook" w:cs="Arial"/>
          <w:color w:val="000000"/>
        </w:rPr>
        <w:t xml:space="preserve">there has already been a massive rise in anti-LGBTQ+ legislation at the state and local level, echoing attacks we have already seen on abortion and reproductive health care access. </w:t>
      </w:r>
      <w:r w:rsidR="00224B76">
        <w:rPr>
          <w:rFonts w:ascii="Century Schoolbook" w:eastAsia="Times New Roman" w:hAnsi="Century Schoolbook" w:cs="Arial"/>
          <w:color w:val="000000"/>
        </w:rPr>
        <w:t xml:space="preserve"> </w:t>
      </w:r>
      <w:r w:rsidR="00A55D56" w:rsidRPr="0062668D">
        <w:rPr>
          <w:rFonts w:ascii="Century Schoolbook" w:eastAsia="Times New Roman" w:hAnsi="Century Schoolbook" w:cs="Arial"/>
          <w:color w:val="000000"/>
        </w:rPr>
        <w:t>Threats to reproductive health care, gender-affirming care, and more recently-acquired LGBTQ+ rights will disproportionately harm marginalized communities of color. We are already seeing the effects of this as states across the country enact draconian bills that rigidly prohibit abortion and target trans</w:t>
      </w:r>
      <w:r w:rsidR="00DD4487">
        <w:rPr>
          <w:rFonts w:ascii="Century Schoolbook" w:eastAsia="Times New Roman" w:hAnsi="Century Schoolbook" w:cs="Arial"/>
          <w:color w:val="000000"/>
        </w:rPr>
        <w:t>gender</w:t>
      </w:r>
      <w:r w:rsidR="00A55D56" w:rsidRPr="0062668D">
        <w:rPr>
          <w:rFonts w:ascii="Century Schoolbook" w:eastAsia="Times New Roman" w:hAnsi="Century Schoolbook" w:cs="Arial"/>
          <w:color w:val="000000"/>
        </w:rPr>
        <w:t xml:space="preserve"> and nonbinary people.</w:t>
      </w:r>
    </w:p>
    <w:p w14:paraId="42BB0B61" w14:textId="77777777" w:rsidR="00A55D56" w:rsidRPr="0062668D" w:rsidRDefault="00A55D56" w:rsidP="00A55D56">
      <w:pPr>
        <w:spacing w:line="360" w:lineRule="auto"/>
        <w:jc w:val="both"/>
        <w:rPr>
          <w:rFonts w:ascii="Century Schoolbook" w:eastAsia="Times New Roman" w:hAnsi="Century Schoolbook" w:cs="Times New Roman"/>
        </w:rPr>
      </w:pPr>
    </w:p>
    <w:p w14:paraId="2A697DD9" w14:textId="6C0365E8" w:rsidR="00A55D56" w:rsidRDefault="00A55D56" w:rsidP="00A55D56">
      <w:pPr>
        <w:pStyle w:val="paragraph"/>
        <w:spacing w:before="0" w:beforeAutospacing="0" w:after="0" w:afterAutospacing="0" w:line="360" w:lineRule="auto"/>
        <w:jc w:val="both"/>
        <w:textAlignment w:val="baseline"/>
        <w:rPr>
          <w:rStyle w:val="normaltextrun"/>
          <w:rFonts w:ascii="Century Schoolbook" w:hAnsi="Century Schoolbook" w:cs="Arial"/>
          <w:color w:val="000000"/>
        </w:rPr>
      </w:pPr>
      <w:r w:rsidRPr="0062668D">
        <w:rPr>
          <w:rFonts w:ascii="Century Schoolbook" w:hAnsi="Century Schoolbook" w:cs="Arial"/>
          <w:color w:val="000000"/>
        </w:rPr>
        <w:t xml:space="preserve">Because of systemic racism, we know that those hurt first and worst by these attempts are Black and </w:t>
      </w:r>
      <w:proofErr w:type="spellStart"/>
      <w:r w:rsidRPr="0062668D">
        <w:rPr>
          <w:rFonts w:ascii="Century Schoolbook" w:hAnsi="Century Schoolbook" w:cs="Arial"/>
          <w:color w:val="000000"/>
        </w:rPr>
        <w:t>Latin</w:t>
      </w:r>
      <w:r w:rsidR="00B25220">
        <w:rPr>
          <w:rFonts w:ascii="Century Schoolbook" w:hAnsi="Century Schoolbook" w:cs="Arial"/>
          <w:color w:val="000000"/>
        </w:rPr>
        <w:t>e</w:t>
      </w:r>
      <w:proofErr w:type="spellEnd"/>
      <w:r w:rsidRPr="0062668D">
        <w:rPr>
          <w:rFonts w:ascii="Century Schoolbook" w:hAnsi="Century Schoolbook" w:cs="Arial"/>
          <w:color w:val="000000"/>
        </w:rPr>
        <w:t xml:space="preserve"> people and those who are low-income. The promise of </w:t>
      </w:r>
      <w:r w:rsidRPr="0062668D">
        <w:rPr>
          <w:rFonts w:ascii="Century Schoolbook" w:hAnsi="Century Schoolbook" w:cs="Arial"/>
          <w:i/>
          <w:iCs/>
          <w:color w:val="000000"/>
        </w:rPr>
        <w:t xml:space="preserve">Roe </w:t>
      </w:r>
      <w:r w:rsidRPr="0062668D">
        <w:rPr>
          <w:rFonts w:ascii="Century Schoolbook" w:hAnsi="Century Schoolbook" w:cs="Arial"/>
          <w:color w:val="000000"/>
        </w:rPr>
        <w:t xml:space="preserve">has never been a reality for everyone in this country, and in the past year, in many places, that promise has been gutted entirely. </w:t>
      </w:r>
      <w:r w:rsidR="0039755B">
        <w:rPr>
          <w:rFonts w:ascii="Century Schoolbook" w:hAnsi="Century Schoolbook" w:cs="Arial"/>
          <w:color w:val="000000"/>
        </w:rPr>
        <w:t>More than half of Black women of reproductive age, plus trans</w:t>
      </w:r>
      <w:r w:rsidR="0054558A">
        <w:rPr>
          <w:rFonts w:ascii="Century Schoolbook" w:hAnsi="Century Schoolbook" w:cs="Arial"/>
          <w:color w:val="000000"/>
        </w:rPr>
        <w:t>gender</w:t>
      </w:r>
      <w:r w:rsidR="0039755B">
        <w:rPr>
          <w:rFonts w:ascii="Century Schoolbook" w:hAnsi="Century Schoolbook" w:cs="Arial"/>
          <w:color w:val="000000"/>
        </w:rPr>
        <w:t xml:space="preserve"> and nonbinary people, live in states with abortion bans. </w:t>
      </w:r>
      <w:r w:rsidRPr="0062668D">
        <w:rPr>
          <w:rFonts w:ascii="Century Schoolbook" w:hAnsi="Century Schoolbook" w:cs="Arial"/>
          <w:color w:val="000000"/>
        </w:rPr>
        <w:t>In Connecticut, and across the country, economic injustice, systemic racism, documentation status, targeted restrictions on reproductive health care and gender affirming care providers, and the criminalization of pregnancy outcomes have kept abortion access out of reach for people of color, young people, LGBTQ+ people, and lower-income people.</w:t>
      </w:r>
    </w:p>
    <w:p w14:paraId="31E17DC9" w14:textId="4F7FBEAD" w:rsidR="00A55D56" w:rsidRDefault="00A55D56" w:rsidP="00F5462F">
      <w:pPr>
        <w:pStyle w:val="paragraph"/>
        <w:spacing w:before="0" w:beforeAutospacing="0" w:after="0" w:afterAutospacing="0" w:line="360" w:lineRule="auto"/>
        <w:jc w:val="both"/>
        <w:textAlignment w:val="baseline"/>
        <w:rPr>
          <w:rStyle w:val="normaltextrun"/>
          <w:rFonts w:ascii="Century Schoolbook" w:hAnsi="Century Schoolbook" w:cs="Arial"/>
          <w:color w:val="000000"/>
        </w:rPr>
      </w:pPr>
    </w:p>
    <w:p w14:paraId="21972CB7" w14:textId="10DD0CA2" w:rsidR="00C81BEE" w:rsidRDefault="00766606" w:rsidP="00C81BEE">
      <w:pPr>
        <w:pStyle w:val="paragraph"/>
        <w:spacing w:before="0" w:beforeAutospacing="0" w:after="0" w:afterAutospacing="0" w:line="360" w:lineRule="auto"/>
        <w:jc w:val="both"/>
        <w:textAlignment w:val="baseline"/>
        <w:rPr>
          <w:rStyle w:val="normaltextrun"/>
          <w:rFonts w:ascii="Century Schoolbook" w:hAnsi="Century Schoolbook" w:cs="Arial"/>
          <w:color w:val="000000"/>
        </w:rPr>
      </w:pPr>
      <w:r>
        <w:rPr>
          <w:rStyle w:val="normaltextrun"/>
          <w:rFonts w:ascii="Century Schoolbook" w:hAnsi="Century Schoolbook" w:cs="Arial"/>
          <w:color w:val="000000"/>
        </w:rPr>
        <w:lastRenderedPageBreak/>
        <w:t xml:space="preserve">Senate Joint Resolution 35 is a crucial chance </w:t>
      </w:r>
      <w:r w:rsidR="00E92E56">
        <w:rPr>
          <w:rStyle w:val="normaltextrun"/>
          <w:rFonts w:ascii="Century Schoolbook" w:hAnsi="Century Schoolbook" w:cs="Arial"/>
          <w:color w:val="000000"/>
        </w:rPr>
        <w:t xml:space="preserve">for Connecticut </w:t>
      </w:r>
      <w:r>
        <w:rPr>
          <w:rStyle w:val="normaltextrun"/>
          <w:rFonts w:ascii="Century Schoolbook" w:hAnsi="Century Schoolbook" w:cs="Arial"/>
          <w:color w:val="000000"/>
        </w:rPr>
        <w:t>to bolster its existing constitutional protections</w:t>
      </w:r>
      <w:r w:rsidR="00E92E56">
        <w:rPr>
          <w:rStyle w:val="normaltextrun"/>
          <w:rFonts w:ascii="Century Schoolbook" w:hAnsi="Century Schoolbook" w:cs="Arial"/>
          <w:color w:val="000000"/>
        </w:rPr>
        <w:t xml:space="preserve"> as reproductive and LGBTQ+ rights in this country are under increasing existential threat. </w:t>
      </w:r>
      <w:r w:rsidR="00D913B5">
        <w:rPr>
          <w:rStyle w:val="normaltextrun"/>
          <w:rFonts w:ascii="Century Schoolbook" w:hAnsi="Century Schoolbook" w:cs="Arial"/>
          <w:color w:val="000000"/>
        </w:rPr>
        <w:t xml:space="preserve">The amendment would prohibit the state from discriminating against individuals based on pregnancy, sexual orientation, gender identity and expression, and related health care, reinforcing protections that Connecticut has already recognized. The </w:t>
      </w:r>
      <w:r w:rsidR="001C3200">
        <w:rPr>
          <w:rStyle w:val="normaltextrun"/>
          <w:rFonts w:ascii="Century Schoolbook" w:hAnsi="Century Schoolbook" w:cs="Arial"/>
          <w:color w:val="000000"/>
        </w:rPr>
        <w:t>amendment does not change existing state abortion laws but rather fortifies their constitutional foundation, making them resistant to future rollbacks.</w:t>
      </w:r>
      <w:r w:rsidR="00D913B5">
        <w:rPr>
          <w:rStyle w:val="normaltextrun"/>
          <w:rFonts w:ascii="Century Schoolbook" w:hAnsi="Century Schoolbook" w:cs="Arial"/>
          <w:color w:val="000000"/>
        </w:rPr>
        <w:t xml:space="preserve"> </w:t>
      </w:r>
      <w:r w:rsidR="001C3200">
        <w:rPr>
          <w:rStyle w:val="normaltextrun"/>
          <w:rFonts w:ascii="Century Schoolbook" w:hAnsi="Century Schoolbook" w:cs="Arial"/>
          <w:color w:val="000000"/>
        </w:rPr>
        <w:t xml:space="preserve">This step is necessary to safeguard rights from erosion or reinterpretation over time. </w:t>
      </w:r>
      <w:r w:rsidRPr="001C3200">
        <w:rPr>
          <w:rStyle w:val="normaltextrun"/>
          <w:rFonts w:ascii="Century Schoolbook" w:hAnsi="Century Schoolbook" w:cs="Arial"/>
          <w:color w:val="000000"/>
        </w:rPr>
        <w:t>Other</w:t>
      </w:r>
      <w:r>
        <w:rPr>
          <w:rStyle w:val="normaltextrun"/>
          <w:rFonts w:ascii="Century Schoolbook" w:hAnsi="Century Schoolbook" w:cs="Arial"/>
          <w:color w:val="000000"/>
        </w:rPr>
        <w:t xml:space="preserve"> states area already moving beyond the limitations of </w:t>
      </w:r>
      <w:r>
        <w:rPr>
          <w:rStyle w:val="normaltextrun"/>
          <w:rFonts w:ascii="Century Schoolbook" w:hAnsi="Century Schoolbook" w:cs="Arial"/>
          <w:i/>
          <w:color w:val="000000"/>
        </w:rPr>
        <w:t xml:space="preserve">Roe </w:t>
      </w:r>
      <w:r>
        <w:rPr>
          <w:rStyle w:val="normaltextrun"/>
          <w:rFonts w:ascii="Century Schoolbook" w:hAnsi="Century Schoolbook" w:cs="Arial"/>
          <w:color w:val="000000"/>
        </w:rPr>
        <w:t xml:space="preserve">and </w:t>
      </w:r>
      <w:r>
        <w:rPr>
          <w:rStyle w:val="normaltextrun"/>
          <w:rFonts w:ascii="Century Schoolbook" w:hAnsi="Century Schoolbook" w:cs="Arial"/>
          <w:i/>
          <w:color w:val="000000"/>
        </w:rPr>
        <w:t>Casey</w:t>
      </w:r>
      <w:r>
        <w:rPr>
          <w:rStyle w:val="normaltextrun"/>
          <w:rFonts w:ascii="Century Schoolbook" w:hAnsi="Century Schoolbook" w:cs="Arial"/>
          <w:color w:val="000000"/>
        </w:rPr>
        <w:t>, designing amendments that recognize stronger, state-level protections beyond the abortion-specific rights created under those cases.</w:t>
      </w:r>
      <w:r w:rsidR="00E92E56">
        <w:rPr>
          <w:rStyle w:val="normaltextrun"/>
          <w:rFonts w:ascii="Century Schoolbook" w:hAnsi="Century Schoolbook" w:cs="Arial"/>
          <w:color w:val="000000"/>
        </w:rPr>
        <w:t xml:space="preserve"> </w:t>
      </w:r>
      <w:r w:rsidR="00C81BEE">
        <w:rPr>
          <w:rStyle w:val="normaltextrun"/>
          <w:rFonts w:ascii="Century Schoolbook" w:hAnsi="Century Schoolbook" w:cs="Arial"/>
          <w:color w:val="000000"/>
        </w:rPr>
        <w:t>Expanding th</w:t>
      </w:r>
      <w:r w:rsidR="00E92E56">
        <w:rPr>
          <w:rStyle w:val="normaltextrun"/>
          <w:rFonts w:ascii="Century Schoolbook" w:hAnsi="Century Schoolbook" w:cs="Arial"/>
          <w:color w:val="000000"/>
        </w:rPr>
        <w:t xml:space="preserve">is </w:t>
      </w:r>
      <w:r w:rsidR="00C81BEE">
        <w:rPr>
          <w:rStyle w:val="normaltextrun"/>
          <w:rFonts w:ascii="Century Schoolbook" w:hAnsi="Century Schoolbook" w:cs="Arial"/>
          <w:color w:val="000000"/>
        </w:rPr>
        <w:t xml:space="preserve">section of the Connecticut State Constitution would require courts to apply a higher legal standard when evaluating laws or policies that treat people in those categories differently, which will </w:t>
      </w:r>
      <w:r w:rsidR="00E92E56">
        <w:rPr>
          <w:rStyle w:val="normaltextrun"/>
          <w:rFonts w:ascii="Century Schoolbook" w:hAnsi="Century Schoolbook" w:cs="Arial"/>
          <w:color w:val="000000"/>
        </w:rPr>
        <w:t xml:space="preserve">in turn </w:t>
      </w:r>
      <w:r w:rsidR="00C81BEE">
        <w:rPr>
          <w:rStyle w:val="normaltextrun"/>
          <w:rFonts w:ascii="Century Schoolbook" w:hAnsi="Century Schoolbook" w:cs="Arial"/>
          <w:color w:val="000000"/>
        </w:rPr>
        <w:t xml:space="preserve">make it much harder for the government to justify discrimination. </w:t>
      </w:r>
    </w:p>
    <w:p w14:paraId="04A94D88" w14:textId="6E101333" w:rsidR="00C81BEE" w:rsidRDefault="00C81BEE" w:rsidP="00C81BEE">
      <w:pPr>
        <w:pStyle w:val="paragraph"/>
        <w:spacing w:before="0" w:beforeAutospacing="0" w:after="0" w:afterAutospacing="0" w:line="360" w:lineRule="auto"/>
        <w:jc w:val="both"/>
        <w:textAlignment w:val="baseline"/>
        <w:rPr>
          <w:rStyle w:val="normaltextrun"/>
          <w:rFonts w:ascii="Century Schoolbook" w:hAnsi="Century Schoolbook" w:cs="Arial"/>
          <w:color w:val="000000"/>
        </w:rPr>
      </w:pPr>
    </w:p>
    <w:p w14:paraId="10C3A4C7" w14:textId="399DEB68" w:rsidR="00B66651" w:rsidRPr="002155A0" w:rsidRDefault="00E92E56" w:rsidP="0039755B">
      <w:pPr>
        <w:pStyle w:val="paragraph"/>
        <w:spacing w:before="0" w:beforeAutospacing="0" w:after="0" w:afterAutospacing="0" w:line="360" w:lineRule="auto"/>
        <w:jc w:val="both"/>
        <w:textAlignment w:val="baseline"/>
        <w:rPr>
          <w:rFonts w:ascii="Century Schoolbook" w:hAnsi="Century Schoolbook" w:cs="Arial"/>
          <w:color w:val="000000"/>
        </w:rPr>
      </w:pPr>
      <w:r>
        <w:rPr>
          <w:rStyle w:val="normaltextrun"/>
          <w:rFonts w:ascii="Century Schoolbook" w:hAnsi="Century Schoolbook" w:cs="Arial"/>
          <w:color w:val="000000"/>
        </w:rPr>
        <w:t>This framework makes sense</w:t>
      </w:r>
      <w:r w:rsidR="00DD4487">
        <w:rPr>
          <w:rStyle w:val="normaltextrun"/>
          <w:rFonts w:ascii="Century Schoolbook" w:hAnsi="Century Schoolbook" w:cs="Arial"/>
          <w:color w:val="000000"/>
        </w:rPr>
        <w:t xml:space="preserve">. </w:t>
      </w:r>
      <w:r w:rsidR="00C81BEE">
        <w:rPr>
          <w:rStyle w:val="normaltextrun"/>
          <w:rFonts w:ascii="Century Schoolbook" w:hAnsi="Century Schoolbook" w:cs="Arial"/>
          <w:color w:val="000000"/>
        </w:rPr>
        <w:t xml:space="preserve">While our state statutes contain protections related to reproductive health care and LGBTQ+ rights, </w:t>
      </w:r>
      <w:r w:rsidR="00DD4487">
        <w:rPr>
          <w:rStyle w:val="normaltextrun"/>
          <w:rFonts w:ascii="Century Schoolbook" w:hAnsi="Century Schoolbook" w:cs="Arial"/>
          <w:color w:val="000000"/>
        </w:rPr>
        <w:t>statutes may be repealed by a simple majority vote. The process of amending the Connecticut Constitution is much more arduous, ensuring stronger and more durable safeguards against discrimination.</w:t>
      </w:r>
      <w:r w:rsidR="0039755B">
        <w:rPr>
          <w:rStyle w:val="normaltextrun"/>
          <w:rFonts w:ascii="Century Schoolbook" w:hAnsi="Century Schoolbook" w:cs="Arial"/>
          <w:color w:val="000000"/>
        </w:rPr>
        <w:t xml:space="preserve"> </w:t>
      </w:r>
      <w:r w:rsidR="0054558A">
        <w:rPr>
          <w:rStyle w:val="normaltextrun"/>
          <w:rFonts w:ascii="Century Schoolbook" w:hAnsi="Century Schoolbook" w:cs="Arial"/>
          <w:color w:val="000000"/>
        </w:rPr>
        <w:t xml:space="preserve">The Connecticut Constitution’s due process, privacy, and equal protection guarantees are also stronger than their equivalents in the United States Constitution. </w:t>
      </w:r>
      <w:r w:rsidR="0039755B">
        <w:rPr>
          <w:rStyle w:val="normaltextrun"/>
          <w:rFonts w:ascii="Century Schoolbook" w:hAnsi="Century Schoolbook" w:cs="Arial"/>
          <w:color w:val="000000"/>
        </w:rPr>
        <w:t xml:space="preserve">The protections afforded by a robust gender equality amendment have never been more important. In overturning </w:t>
      </w:r>
      <w:r w:rsidR="0039755B">
        <w:rPr>
          <w:rStyle w:val="normaltextrun"/>
          <w:rFonts w:ascii="Century Schoolbook" w:hAnsi="Century Schoolbook" w:cs="Arial"/>
          <w:i/>
          <w:color w:val="000000"/>
        </w:rPr>
        <w:t>Roe</w:t>
      </w:r>
      <w:r w:rsidR="0039755B">
        <w:rPr>
          <w:rStyle w:val="normaltextrun"/>
          <w:rFonts w:ascii="Century Schoolbook" w:hAnsi="Century Schoolbook" w:cs="Arial"/>
          <w:color w:val="000000"/>
        </w:rPr>
        <w:t xml:space="preserve">, some members of the Supreme Court also called into question the legitimacy of other individual rights rooted in privacy and liberty, like marriage equality and contraception access. </w:t>
      </w:r>
      <w:r w:rsidR="00766606">
        <w:rPr>
          <w:rFonts w:ascii="Century Schoolbook" w:hAnsi="Century Schoolbook" w:cs="Arial"/>
          <w:color w:val="000000"/>
        </w:rPr>
        <w:t xml:space="preserve">By explicitly naming pregnancy as well as sexual orientation and gender identity in the state constitution, people will be afforded greater protections under our existing Equal Rights Amendment in a time of increasing threats to their </w:t>
      </w:r>
      <w:r w:rsidR="0039755B">
        <w:rPr>
          <w:rFonts w:ascii="Century Schoolbook" w:hAnsi="Century Schoolbook" w:cs="Arial"/>
          <w:color w:val="000000"/>
        </w:rPr>
        <w:t xml:space="preserve">personal freedom, </w:t>
      </w:r>
      <w:r w:rsidR="00766606">
        <w:rPr>
          <w:rFonts w:ascii="Century Schoolbook" w:hAnsi="Century Schoolbook" w:cs="Arial"/>
          <w:color w:val="000000"/>
        </w:rPr>
        <w:t>autonomy</w:t>
      </w:r>
      <w:r w:rsidR="0039755B">
        <w:rPr>
          <w:rFonts w:ascii="Century Schoolbook" w:hAnsi="Century Schoolbook" w:cs="Arial"/>
          <w:color w:val="000000"/>
        </w:rPr>
        <w:t>,</w:t>
      </w:r>
      <w:r w:rsidR="00766606">
        <w:rPr>
          <w:rFonts w:ascii="Century Schoolbook" w:hAnsi="Century Schoolbook" w:cs="Arial"/>
          <w:color w:val="000000"/>
        </w:rPr>
        <w:t xml:space="preserve"> and independence</w:t>
      </w:r>
      <w:r w:rsidR="002155A0">
        <w:rPr>
          <w:rFonts w:ascii="Century Schoolbook" w:hAnsi="Century Schoolbook" w:cs="Arial"/>
          <w:color w:val="000000"/>
        </w:rPr>
        <w:t xml:space="preserve">. Connecticut must continue to lead the nation in protecting access to reproductive </w:t>
      </w:r>
      <w:r w:rsidR="002155A0">
        <w:rPr>
          <w:rFonts w:ascii="Century Schoolbook" w:hAnsi="Century Schoolbook" w:cs="Arial"/>
          <w:color w:val="000000"/>
        </w:rPr>
        <w:lastRenderedPageBreak/>
        <w:t xml:space="preserve">health care and LGBTQ+ people. This amendment is essential to fighting back against efforts to further erode rights and personal freedoms far beyond the reproductive rights rolled back by </w:t>
      </w:r>
      <w:r w:rsidR="002155A0">
        <w:rPr>
          <w:rFonts w:ascii="Century Schoolbook" w:hAnsi="Century Schoolbook" w:cs="Arial"/>
          <w:i/>
          <w:color w:val="000000"/>
        </w:rPr>
        <w:t>Dobbs</w:t>
      </w:r>
      <w:r w:rsidR="002155A0">
        <w:rPr>
          <w:rFonts w:ascii="Century Schoolbook" w:hAnsi="Century Schoolbook" w:cs="Arial"/>
          <w:color w:val="000000"/>
        </w:rPr>
        <w:t xml:space="preserve">. </w:t>
      </w:r>
      <w:r w:rsidR="00F275E9">
        <w:rPr>
          <w:rFonts w:ascii="Century Schoolbook" w:hAnsi="Century Schoolbook" w:cs="Arial"/>
          <w:color w:val="000000"/>
        </w:rPr>
        <w:t xml:space="preserve">This amendment explicitly affirms that Connecticut is committed to ensuring no one faces discrimination because of who they are or the health care decisions they make. </w:t>
      </w:r>
      <w:r w:rsidR="004E3524">
        <w:rPr>
          <w:rFonts w:ascii="Century Schoolbook" w:hAnsi="Century Schoolbook" w:cs="Arial"/>
          <w:color w:val="000000"/>
        </w:rPr>
        <w:t xml:space="preserve">As of writing, there are nearly 1,900 testimonies </w:t>
      </w:r>
      <w:r w:rsidR="00A66225">
        <w:rPr>
          <w:rFonts w:ascii="Century Schoolbook" w:hAnsi="Century Schoolbook" w:cs="Arial"/>
          <w:color w:val="000000"/>
        </w:rPr>
        <w:t xml:space="preserve">submitted in support of the amendment—it is clear that the people want and needs this now more than ever. The people are speaking, </w:t>
      </w:r>
      <w:bookmarkStart w:id="0" w:name="_GoBack"/>
      <w:bookmarkEnd w:id="0"/>
      <w:r w:rsidR="00A66225">
        <w:rPr>
          <w:rFonts w:ascii="Century Schoolbook" w:hAnsi="Century Schoolbook" w:cs="Arial"/>
          <w:color w:val="000000"/>
        </w:rPr>
        <w:t xml:space="preserve">and this Committee must hear them. </w:t>
      </w:r>
      <w:r w:rsidR="002155A0">
        <w:rPr>
          <w:rFonts w:ascii="Century Schoolbook" w:hAnsi="Century Schoolbook" w:cs="Arial"/>
          <w:color w:val="000000"/>
        </w:rPr>
        <w:t>As such, the ACLU-CT strongly supports Senate Joint Resolution 35, and encourages this Committee to do the same.</w:t>
      </w:r>
    </w:p>
    <w:sectPr w:rsidR="00B66651" w:rsidRPr="002155A0" w:rsidSect="00384766">
      <w:footerReference w:type="even"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2DE9B81" w14:textId="77777777" w:rsidR="00984086" w:rsidRDefault="00984086" w:rsidP="00A72F93">
      <w:r>
        <w:separator/>
      </w:r>
    </w:p>
  </w:endnote>
  <w:endnote w:type="continuationSeparator" w:id="0">
    <w:p w14:paraId="4C9260AA" w14:textId="77777777" w:rsidR="00984086" w:rsidRDefault="00984086" w:rsidP="00A72F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Schoolbook">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2081591987"/>
      <w:docPartObj>
        <w:docPartGallery w:val="Page Numbers (Bottom of Page)"/>
        <w:docPartUnique/>
      </w:docPartObj>
    </w:sdtPr>
    <w:sdtEndPr>
      <w:rPr>
        <w:rStyle w:val="PageNumber"/>
      </w:rPr>
    </w:sdtEndPr>
    <w:sdtContent>
      <w:p w14:paraId="0A03008F" w14:textId="18F27939" w:rsidR="00A72F93" w:rsidRDefault="00A72F93" w:rsidP="00A72F9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52726A9" w14:textId="77777777" w:rsidR="00A72F93" w:rsidRDefault="00A72F93" w:rsidP="00A72F93">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005245683"/>
      <w:docPartObj>
        <w:docPartGallery w:val="Page Numbers (Bottom of Page)"/>
        <w:docPartUnique/>
      </w:docPartObj>
    </w:sdtPr>
    <w:sdtEndPr>
      <w:rPr>
        <w:rStyle w:val="PageNumber"/>
        <w:rFonts w:ascii="Century Schoolbook" w:hAnsi="Century Schoolbook"/>
      </w:rPr>
    </w:sdtEndPr>
    <w:sdtContent>
      <w:p w14:paraId="04C6151D" w14:textId="3988E9C5" w:rsidR="00A72F93" w:rsidRDefault="00A72F93" w:rsidP="00957706">
        <w:pPr>
          <w:pStyle w:val="Footer"/>
          <w:framePr w:wrap="none" w:vAnchor="text" w:hAnchor="margin" w:xAlign="right" w:y="1"/>
          <w:rPr>
            <w:rStyle w:val="PageNumber"/>
          </w:rPr>
        </w:pPr>
        <w:r w:rsidRPr="00A72F93">
          <w:rPr>
            <w:rStyle w:val="PageNumber"/>
            <w:rFonts w:ascii="Century Schoolbook" w:hAnsi="Century Schoolbook"/>
          </w:rPr>
          <w:fldChar w:fldCharType="begin"/>
        </w:r>
        <w:r w:rsidRPr="00A72F93">
          <w:rPr>
            <w:rStyle w:val="PageNumber"/>
            <w:rFonts w:ascii="Century Schoolbook" w:hAnsi="Century Schoolbook"/>
          </w:rPr>
          <w:instrText xml:space="preserve"> PAGE </w:instrText>
        </w:r>
        <w:r w:rsidRPr="00A72F93">
          <w:rPr>
            <w:rStyle w:val="PageNumber"/>
            <w:rFonts w:ascii="Century Schoolbook" w:hAnsi="Century Schoolbook"/>
          </w:rPr>
          <w:fldChar w:fldCharType="separate"/>
        </w:r>
        <w:r w:rsidRPr="00A72F93">
          <w:rPr>
            <w:rStyle w:val="PageNumber"/>
            <w:rFonts w:ascii="Century Schoolbook" w:hAnsi="Century Schoolbook"/>
            <w:noProof/>
          </w:rPr>
          <w:t>1</w:t>
        </w:r>
        <w:r w:rsidRPr="00A72F93">
          <w:rPr>
            <w:rStyle w:val="PageNumber"/>
            <w:rFonts w:ascii="Century Schoolbook" w:hAnsi="Century Schoolbook"/>
          </w:rPr>
          <w:fldChar w:fldCharType="end"/>
        </w:r>
      </w:p>
    </w:sdtContent>
  </w:sdt>
  <w:p w14:paraId="6BFBE3E1" w14:textId="5873F505" w:rsidR="00A72F93" w:rsidRDefault="00A72F93" w:rsidP="00A72F93">
    <w:pPr>
      <w:pStyle w:val="Footer"/>
      <w:framePr w:wrap="none" w:vAnchor="text" w:hAnchor="margin" w:xAlign="center" w:y="1"/>
      <w:ind w:right="360"/>
      <w:rPr>
        <w:rStyle w:val="PageNumber"/>
      </w:rPr>
    </w:pPr>
  </w:p>
  <w:p w14:paraId="1BCB9410" w14:textId="77777777" w:rsidR="00A72F93" w:rsidRDefault="00A72F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598D0E" w14:textId="77777777" w:rsidR="00984086" w:rsidRDefault="00984086" w:rsidP="00A72F93">
      <w:r>
        <w:separator/>
      </w:r>
    </w:p>
  </w:footnote>
  <w:footnote w:type="continuationSeparator" w:id="0">
    <w:p w14:paraId="1132DFF8" w14:textId="77777777" w:rsidR="00984086" w:rsidRDefault="00984086" w:rsidP="00A72F93">
      <w:r>
        <w:continuationSeparator/>
      </w:r>
    </w:p>
  </w:footnote>
  <w:footnote w:id="1">
    <w:p w14:paraId="33223DBB" w14:textId="161106B8" w:rsidR="00DD4487" w:rsidRPr="0021592A" w:rsidRDefault="00DD4487">
      <w:pPr>
        <w:pStyle w:val="FootnoteText"/>
        <w:rPr>
          <w:rFonts w:ascii="Century Schoolbook" w:hAnsi="Century Schoolbook"/>
          <w:sz w:val="16"/>
          <w:szCs w:val="16"/>
        </w:rPr>
      </w:pPr>
      <w:r w:rsidRPr="0021592A">
        <w:rPr>
          <w:rStyle w:val="FootnoteReference"/>
          <w:rFonts w:ascii="Century Schoolbook" w:hAnsi="Century Schoolbook"/>
          <w:sz w:val="16"/>
          <w:szCs w:val="16"/>
        </w:rPr>
        <w:footnoteRef/>
      </w:r>
      <w:r w:rsidRPr="0021592A">
        <w:rPr>
          <w:rFonts w:ascii="Century Schoolbook" w:hAnsi="Century Schoolbook"/>
          <w:sz w:val="16"/>
          <w:szCs w:val="16"/>
        </w:rPr>
        <w:t xml:space="preserve"> </w:t>
      </w:r>
      <w:r w:rsidRPr="0021592A">
        <w:rPr>
          <w:rFonts w:ascii="Century Schoolbook" w:hAnsi="Century Schoolbook"/>
          <w:i/>
          <w:sz w:val="16"/>
          <w:szCs w:val="16"/>
        </w:rPr>
        <w:t>See, e.g.</w:t>
      </w:r>
      <w:r w:rsidRPr="0021592A">
        <w:rPr>
          <w:rFonts w:ascii="Century Schoolbook" w:hAnsi="Century Schoolbook"/>
          <w:sz w:val="16"/>
          <w:szCs w:val="16"/>
        </w:rPr>
        <w:t xml:space="preserve">, </w:t>
      </w:r>
      <w:r w:rsidRPr="0021592A">
        <w:rPr>
          <w:rFonts w:ascii="Century Schoolbook" w:hAnsi="Century Schoolbook"/>
          <w:i/>
          <w:sz w:val="16"/>
          <w:szCs w:val="16"/>
        </w:rPr>
        <w:t xml:space="preserve">State v. </w:t>
      </w:r>
      <w:proofErr w:type="spellStart"/>
      <w:r w:rsidRPr="0021592A">
        <w:rPr>
          <w:rFonts w:ascii="Century Schoolbook" w:hAnsi="Century Schoolbook"/>
          <w:i/>
          <w:sz w:val="16"/>
          <w:szCs w:val="16"/>
        </w:rPr>
        <w:t>Buie</w:t>
      </w:r>
      <w:proofErr w:type="spellEnd"/>
      <w:r w:rsidRPr="0021592A">
        <w:rPr>
          <w:rFonts w:ascii="Century Schoolbook" w:hAnsi="Century Schoolbook"/>
          <w:sz w:val="16"/>
          <w:szCs w:val="16"/>
        </w:rPr>
        <w:t xml:space="preserve">, 312 Conn. 574, 583–84 (2014); </w:t>
      </w:r>
      <w:r w:rsidRPr="0021592A">
        <w:rPr>
          <w:rFonts w:ascii="Century Schoolbook" w:hAnsi="Century Schoolbook"/>
          <w:i/>
          <w:sz w:val="16"/>
          <w:szCs w:val="16"/>
        </w:rPr>
        <w:t>State v. Davis</w:t>
      </w:r>
      <w:r w:rsidRPr="0021592A">
        <w:rPr>
          <w:rFonts w:ascii="Century Schoolbook" w:hAnsi="Century Schoolbook"/>
          <w:sz w:val="16"/>
          <w:szCs w:val="16"/>
        </w:rPr>
        <w:t xml:space="preserve">, 283 Conn. 280, 320 (2007). </w:t>
      </w:r>
    </w:p>
  </w:footnote>
  <w:footnote w:id="2">
    <w:p w14:paraId="60679CF8" w14:textId="77777777" w:rsidR="00F5462F" w:rsidRPr="0021592A" w:rsidRDefault="00F5462F" w:rsidP="00F5462F">
      <w:pPr>
        <w:pStyle w:val="FootnoteText"/>
        <w:rPr>
          <w:rFonts w:ascii="Century Schoolbook" w:hAnsi="Century Schoolbook"/>
          <w:sz w:val="16"/>
          <w:szCs w:val="16"/>
        </w:rPr>
      </w:pPr>
      <w:r w:rsidRPr="0021592A">
        <w:rPr>
          <w:rStyle w:val="FootnoteReference"/>
          <w:rFonts w:ascii="Century Schoolbook" w:hAnsi="Century Schoolbook"/>
          <w:sz w:val="16"/>
          <w:szCs w:val="16"/>
        </w:rPr>
        <w:footnoteRef/>
      </w:r>
      <w:r w:rsidRPr="0021592A">
        <w:rPr>
          <w:rFonts w:ascii="Century Schoolbook" w:hAnsi="Century Schoolbook"/>
          <w:sz w:val="16"/>
          <w:szCs w:val="16"/>
        </w:rPr>
        <w:t xml:space="preserve"> </w:t>
      </w:r>
      <w:r w:rsidRPr="0021592A">
        <w:rPr>
          <w:rFonts w:ascii="Century Schoolbook" w:hAnsi="Century Schoolbook"/>
          <w:i/>
          <w:sz w:val="16"/>
          <w:szCs w:val="16"/>
        </w:rPr>
        <w:t>Doe v. Maher</w:t>
      </w:r>
      <w:r w:rsidRPr="0021592A">
        <w:rPr>
          <w:rFonts w:ascii="Century Schoolbook" w:hAnsi="Century Schoolbook"/>
          <w:sz w:val="16"/>
          <w:szCs w:val="16"/>
        </w:rPr>
        <w:t>, 40 Conn. Supp. 394, 426 (1986).</w:t>
      </w:r>
    </w:p>
  </w:footnote>
  <w:footnote w:id="3">
    <w:p w14:paraId="405BD2EF" w14:textId="20F53C09" w:rsidR="0034315E" w:rsidRPr="0021592A" w:rsidRDefault="0034315E">
      <w:pPr>
        <w:pStyle w:val="FootnoteText"/>
        <w:rPr>
          <w:rFonts w:ascii="Century Schoolbook" w:hAnsi="Century Schoolbook"/>
          <w:sz w:val="16"/>
          <w:szCs w:val="16"/>
        </w:rPr>
      </w:pPr>
      <w:r w:rsidRPr="0021592A">
        <w:rPr>
          <w:rStyle w:val="FootnoteReference"/>
          <w:rFonts w:ascii="Century Schoolbook" w:hAnsi="Century Schoolbook"/>
          <w:sz w:val="16"/>
          <w:szCs w:val="16"/>
        </w:rPr>
        <w:footnoteRef/>
      </w:r>
      <w:r w:rsidRPr="0021592A">
        <w:rPr>
          <w:rFonts w:ascii="Century Schoolbook" w:hAnsi="Century Schoolbook"/>
          <w:sz w:val="16"/>
          <w:szCs w:val="16"/>
        </w:rPr>
        <w:t xml:space="preserve"> </w:t>
      </w:r>
      <w:proofErr w:type="spellStart"/>
      <w:r w:rsidR="00B87C51">
        <w:rPr>
          <w:rFonts w:ascii="Century Schoolbook" w:hAnsi="Century Schoolbook"/>
          <w:sz w:val="16"/>
          <w:szCs w:val="16"/>
        </w:rPr>
        <w:t>Kimya</w:t>
      </w:r>
      <w:proofErr w:type="spellEnd"/>
      <w:r w:rsidR="00B87C51">
        <w:rPr>
          <w:rFonts w:ascii="Century Schoolbook" w:hAnsi="Century Schoolbook"/>
          <w:sz w:val="16"/>
          <w:szCs w:val="16"/>
        </w:rPr>
        <w:t xml:space="preserve"> </w:t>
      </w:r>
      <w:proofErr w:type="spellStart"/>
      <w:r w:rsidR="00B87C51">
        <w:rPr>
          <w:rFonts w:ascii="Century Schoolbook" w:hAnsi="Century Schoolbook"/>
          <w:sz w:val="16"/>
          <w:szCs w:val="16"/>
        </w:rPr>
        <w:t>Forouzan</w:t>
      </w:r>
      <w:proofErr w:type="spellEnd"/>
      <w:r w:rsidR="00B87C51">
        <w:rPr>
          <w:rFonts w:ascii="Century Schoolbook" w:hAnsi="Century Schoolbook"/>
          <w:sz w:val="16"/>
          <w:szCs w:val="16"/>
        </w:rPr>
        <w:t xml:space="preserve">, et al., </w:t>
      </w:r>
      <w:r w:rsidR="00B87C51">
        <w:rPr>
          <w:rFonts w:ascii="Century Schoolbook" w:hAnsi="Century Schoolbook"/>
          <w:i/>
          <w:sz w:val="16"/>
          <w:szCs w:val="16"/>
        </w:rPr>
        <w:t>State Policy Trends 2024: Anti-Abortion Policymakers Redouble Attacks on Bodily Autonomy</w:t>
      </w:r>
      <w:r w:rsidR="00B87C51">
        <w:rPr>
          <w:rFonts w:ascii="Century Schoolbook" w:hAnsi="Century Schoolbook"/>
          <w:sz w:val="16"/>
          <w:szCs w:val="16"/>
        </w:rPr>
        <w:t xml:space="preserve">, </w:t>
      </w:r>
      <w:r w:rsidR="00B87C51" w:rsidRPr="00B87C51">
        <w:rPr>
          <w:rFonts w:ascii="Century Schoolbook" w:hAnsi="Century Schoolbook" w:cs="Times New Roman (Body CS)"/>
          <w:smallCaps/>
          <w:sz w:val="16"/>
          <w:szCs w:val="16"/>
        </w:rPr>
        <w:t>Guttmacher Inst. (</w:t>
      </w:r>
      <w:r w:rsidR="00B87C51">
        <w:rPr>
          <w:rFonts w:ascii="Century Schoolbook" w:hAnsi="Century Schoolbook"/>
          <w:sz w:val="16"/>
          <w:szCs w:val="16"/>
        </w:rPr>
        <w:t xml:space="preserve">Dec. 16, 2024), </w:t>
      </w:r>
      <w:hyperlink r:id="rId1" w:history="1">
        <w:r w:rsidR="00B87C51" w:rsidRPr="00D726B1">
          <w:rPr>
            <w:rStyle w:val="Hyperlink"/>
            <w:rFonts w:ascii="Century Schoolbook" w:hAnsi="Century Schoolbook"/>
            <w:sz w:val="16"/>
            <w:szCs w:val="16"/>
          </w:rPr>
          <w:t>htt</w:t>
        </w:r>
        <w:r w:rsidR="00B87C51" w:rsidRPr="00D726B1">
          <w:rPr>
            <w:rStyle w:val="Hyperlink"/>
            <w:rFonts w:ascii="Century Schoolbook" w:hAnsi="Century Schoolbook"/>
            <w:sz w:val="16"/>
            <w:szCs w:val="16"/>
          </w:rPr>
          <w:t>p</w:t>
        </w:r>
        <w:r w:rsidR="00B87C51" w:rsidRPr="00D726B1">
          <w:rPr>
            <w:rStyle w:val="Hyperlink"/>
            <w:rFonts w:ascii="Century Schoolbook" w:hAnsi="Century Schoolbook"/>
            <w:sz w:val="16"/>
            <w:szCs w:val="16"/>
          </w:rPr>
          <w:t>s://www.guttmacher.org/2024/12/state-policy-trends-2024-anti-abortion-policymakers-redouble-attacks-bodily-autonomy?gad_source=1</w:t>
        </w:r>
      </w:hyperlink>
      <w:r w:rsidRPr="0021592A">
        <w:rPr>
          <w:rFonts w:ascii="Century Schoolbook" w:hAnsi="Century Schoolbook"/>
          <w:sz w:val="16"/>
          <w:szCs w:val="16"/>
        </w:rPr>
        <w:t>.</w:t>
      </w:r>
    </w:p>
  </w:footnote>
  <w:footnote w:id="4">
    <w:p w14:paraId="0BD756B7" w14:textId="269F213B" w:rsidR="0034315E" w:rsidRPr="0021592A" w:rsidRDefault="0034315E">
      <w:pPr>
        <w:pStyle w:val="FootnoteText"/>
        <w:rPr>
          <w:rFonts w:ascii="Century Schoolbook" w:hAnsi="Century Schoolbook"/>
          <w:sz w:val="16"/>
          <w:szCs w:val="16"/>
        </w:rPr>
      </w:pPr>
      <w:r w:rsidRPr="0021592A">
        <w:rPr>
          <w:rStyle w:val="FootnoteReference"/>
          <w:rFonts w:ascii="Century Schoolbook" w:hAnsi="Century Schoolbook"/>
          <w:sz w:val="16"/>
          <w:szCs w:val="16"/>
        </w:rPr>
        <w:footnoteRef/>
      </w:r>
      <w:r w:rsidR="00B87C51">
        <w:rPr>
          <w:rFonts w:ascii="Century Schoolbook" w:hAnsi="Century Schoolbook"/>
          <w:sz w:val="16"/>
          <w:szCs w:val="16"/>
        </w:rPr>
        <w:t xml:space="preserve"> </w:t>
      </w:r>
      <w:r w:rsidR="00B87C51">
        <w:rPr>
          <w:rFonts w:ascii="Century Schoolbook" w:hAnsi="Century Schoolbook"/>
          <w:i/>
          <w:sz w:val="16"/>
          <w:szCs w:val="16"/>
        </w:rPr>
        <w:t>Mapping Attacks on LGBTQ Rights in U.S. State Legislatures in 2024</w:t>
      </w:r>
      <w:r w:rsidR="00B87C51">
        <w:rPr>
          <w:rFonts w:ascii="Century Schoolbook" w:hAnsi="Century Schoolbook"/>
          <w:sz w:val="16"/>
          <w:szCs w:val="16"/>
        </w:rPr>
        <w:t xml:space="preserve">, ACLU (accessed Feb. </w:t>
      </w:r>
      <w:r w:rsidR="00B87C51">
        <w:rPr>
          <w:rFonts w:ascii="Century Schoolbook" w:hAnsi="Century Schoolbook"/>
          <w:sz w:val="16"/>
          <w:szCs w:val="16"/>
        </w:rPr>
        <w:t>7, 2025),</w:t>
      </w:r>
      <w:r w:rsidRPr="0021592A">
        <w:rPr>
          <w:rFonts w:ascii="Century Schoolbook" w:hAnsi="Century Schoolbook"/>
          <w:sz w:val="16"/>
          <w:szCs w:val="16"/>
        </w:rPr>
        <w:t xml:space="preserve"> </w:t>
      </w:r>
      <w:hyperlink r:id="rId2" w:history="1">
        <w:r w:rsidRPr="0021592A">
          <w:rPr>
            <w:rStyle w:val="Hyperlink"/>
            <w:rFonts w:ascii="Century Schoolbook" w:hAnsi="Century Schoolbook"/>
            <w:sz w:val="16"/>
            <w:szCs w:val="16"/>
          </w:rPr>
          <w:t>https://www.aclu.org/legislative-attacks-on-lg</w:t>
        </w:r>
        <w:r w:rsidRPr="0021592A">
          <w:rPr>
            <w:rStyle w:val="Hyperlink"/>
            <w:rFonts w:ascii="Century Schoolbook" w:hAnsi="Century Schoolbook"/>
            <w:sz w:val="16"/>
            <w:szCs w:val="16"/>
          </w:rPr>
          <w:t>b</w:t>
        </w:r>
        <w:r w:rsidRPr="0021592A">
          <w:rPr>
            <w:rStyle w:val="Hyperlink"/>
            <w:rFonts w:ascii="Century Schoolbook" w:hAnsi="Century Schoolbook"/>
            <w:sz w:val="16"/>
            <w:szCs w:val="16"/>
          </w:rPr>
          <w:t>tq-rights-2024</w:t>
        </w:r>
      </w:hyperlink>
      <w:r w:rsidR="00B87C51">
        <w:rPr>
          <w:rFonts w:ascii="Century Schoolbook" w:hAnsi="Century Schoolbook"/>
          <w:sz w:val="16"/>
          <w:szCs w:val="16"/>
        </w:rPr>
        <w:t>.</w:t>
      </w:r>
    </w:p>
  </w:footnote>
  <w:footnote w:id="5">
    <w:p w14:paraId="32C40C90" w14:textId="77777777" w:rsidR="00A55D56" w:rsidRPr="0021592A" w:rsidRDefault="00A55D56" w:rsidP="00A55D56">
      <w:pPr>
        <w:pStyle w:val="FootnoteText"/>
        <w:jc w:val="both"/>
        <w:rPr>
          <w:rFonts w:ascii="Century Schoolbook" w:hAnsi="Century Schoolbook"/>
          <w:sz w:val="16"/>
          <w:szCs w:val="16"/>
        </w:rPr>
      </w:pPr>
      <w:r w:rsidRPr="0021592A">
        <w:rPr>
          <w:rStyle w:val="FootnoteReference"/>
          <w:rFonts w:ascii="Century Schoolbook" w:hAnsi="Century Schoolbook"/>
          <w:sz w:val="16"/>
          <w:szCs w:val="16"/>
        </w:rPr>
        <w:footnoteRef/>
      </w:r>
      <w:r w:rsidRPr="0021592A">
        <w:rPr>
          <w:rFonts w:ascii="Century Schoolbook" w:hAnsi="Century Schoolbook"/>
          <w:sz w:val="16"/>
          <w:szCs w:val="16"/>
        </w:rPr>
        <w:t xml:space="preserve"> </w:t>
      </w:r>
      <w:r w:rsidRPr="0021592A">
        <w:rPr>
          <w:rFonts w:ascii="Century Schoolbook" w:hAnsi="Century Schoolbook"/>
          <w:i/>
          <w:sz w:val="16"/>
          <w:szCs w:val="16"/>
        </w:rPr>
        <w:t xml:space="preserve">Dobbs v. </w:t>
      </w:r>
      <w:r w:rsidRPr="0021592A">
        <w:rPr>
          <w:rFonts w:ascii="Century Schoolbook" w:hAnsi="Century Schoolbook"/>
          <w:i/>
          <w:sz w:val="16"/>
          <w:szCs w:val="16"/>
        </w:rPr>
        <w:t>Jackson Women’s Health Org.</w:t>
      </w:r>
      <w:r w:rsidRPr="0021592A">
        <w:rPr>
          <w:rFonts w:ascii="Century Schoolbook" w:hAnsi="Century Schoolbook"/>
          <w:sz w:val="16"/>
          <w:szCs w:val="16"/>
        </w:rPr>
        <w:t xml:space="preserve">, 597 U.S. 215 (Thomas J., concurring) (“For that reason, in future cases, we should reconsider all of this Court’s substantive due process precedents, including </w:t>
      </w:r>
      <w:r w:rsidRPr="0021592A">
        <w:rPr>
          <w:rFonts w:ascii="Century Schoolbook" w:hAnsi="Century Schoolbook"/>
          <w:i/>
          <w:sz w:val="16"/>
          <w:szCs w:val="16"/>
        </w:rPr>
        <w:t>Griswold, Lawrence,</w:t>
      </w:r>
      <w:r w:rsidRPr="0021592A">
        <w:rPr>
          <w:rFonts w:ascii="Century Schoolbook" w:hAnsi="Century Schoolbook"/>
          <w:sz w:val="16"/>
          <w:szCs w:val="16"/>
        </w:rPr>
        <w:t xml:space="preserve"> and </w:t>
      </w:r>
      <w:r w:rsidRPr="0021592A">
        <w:rPr>
          <w:rFonts w:ascii="Century Schoolbook" w:hAnsi="Century Schoolbook"/>
          <w:i/>
          <w:sz w:val="16"/>
          <w:szCs w:val="16"/>
        </w:rPr>
        <w:t>Obergefell</w:t>
      </w:r>
      <w:r w:rsidRPr="0021592A">
        <w:rPr>
          <w:rFonts w:ascii="Century Schoolbook" w:hAnsi="Century Schoolbook"/>
          <w:sz w:val="16"/>
          <w:szCs w:val="16"/>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0F471C"/>
    <w:multiLevelType w:val="hybridMultilevel"/>
    <w:tmpl w:val="43F43EE6"/>
    <w:lvl w:ilvl="0" w:tplc="A7D40724">
      <w:numFmt w:val="bullet"/>
      <w:lvlText w:val="-"/>
      <w:lvlJc w:val="left"/>
      <w:pPr>
        <w:ind w:left="720" w:hanging="360"/>
      </w:pPr>
      <w:rPr>
        <w:rFonts w:ascii="Century Schoolbook" w:eastAsia="Times New Roman" w:hAnsi="Century Schoolbook"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D0E"/>
    <w:rsid w:val="00071788"/>
    <w:rsid w:val="000F1483"/>
    <w:rsid w:val="001C3200"/>
    <w:rsid w:val="0021174F"/>
    <w:rsid w:val="002155A0"/>
    <w:rsid w:val="0021592A"/>
    <w:rsid w:val="00224B76"/>
    <w:rsid w:val="0025735E"/>
    <w:rsid w:val="00282DFA"/>
    <w:rsid w:val="002F2775"/>
    <w:rsid w:val="00337625"/>
    <w:rsid w:val="0034315E"/>
    <w:rsid w:val="00384766"/>
    <w:rsid w:val="0039755B"/>
    <w:rsid w:val="003E5332"/>
    <w:rsid w:val="003F392F"/>
    <w:rsid w:val="003F5FB4"/>
    <w:rsid w:val="003F7664"/>
    <w:rsid w:val="004E2FAD"/>
    <w:rsid w:val="004E3524"/>
    <w:rsid w:val="0054558A"/>
    <w:rsid w:val="005F3B5D"/>
    <w:rsid w:val="006279DA"/>
    <w:rsid w:val="00662B42"/>
    <w:rsid w:val="00724368"/>
    <w:rsid w:val="00740843"/>
    <w:rsid w:val="007434EA"/>
    <w:rsid w:val="00766606"/>
    <w:rsid w:val="007768B8"/>
    <w:rsid w:val="008A5AED"/>
    <w:rsid w:val="00984086"/>
    <w:rsid w:val="009D7874"/>
    <w:rsid w:val="009E7484"/>
    <w:rsid w:val="00A55D56"/>
    <w:rsid w:val="00A656F0"/>
    <w:rsid w:val="00A66225"/>
    <w:rsid w:val="00A72F93"/>
    <w:rsid w:val="00A74086"/>
    <w:rsid w:val="00B25220"/>
    <w:rsid w:val="00B73992"/>
    <w:rsid w:val="00B75D0E"/>
    <w:rsid w:val="00B87C51"/>
    <w:rsid w:val="00BD6283"/>
    <w:rsid w:val="00C67079"/>
    <w:rsid w:val="00C817F6"/>
    <w:rsid w:val="00C81BEE"/>
    <w:rsid w:val="00D913B5"/>
    <w:rsid w:val="00DD4487"/>
    <w:rsid w:val="00DD650F"/>
    <w:rsid w:val="00DF30AB"/>
    <w:rsid w:val="00E92E56"/>
    <w:rsid w:val="00EB1CFD"/>
    <w:rsid w:val="00ED505C"/>
    <w:rsid w:val="00F275E9"/>
    <w:rsid w:val="00F5462F"/>
    <w:rsid w:val="00F837B4"/>
    <w:rsid w:val="00F92DF7"/>
    <w:rsid w:val="00FA4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1C37233"/>
  <w14:defaultImageDpi w14:val="32767"/>
  <w15:chartTrackingRefBased/>
  <w15:docId w15:val="{0418A383-571A-9947-87DC-10B575EBA8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Schoolbook" w:eastAsiaTheme="minorHAnsi" w:hAnsi="Century Schoolbook" w:cs="Arial"/>
        <w:sz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B75D0E"/>
    <w:rPr>
      <w:rFonts w:asciiTheme="minorHAnsi" w:hAnsiTheme="minorHAnsi" w:cstheme="minorBidi"/>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75D0E"/>
    <w:rPr>
      <w:color w:val="0563C1" w:themeColor="hyperlink"/>
      <w:u w:val="single"/>
    </w:rPr>
  </w:style>
  <w:style w:type="paragraph" w:styleId="Footer">
    <w:name w:val="footer"/>
    <w:basedOn w:val="Normal"/>
    <w:link w:val="FooterChar"/>
    <w:uiPriority w:val="99"/>
    <w:unhideWhenUsed/>
    <w:rsid w:val="00A72F93"/>
    <w:pPr>
      <w:tabs>
        <w:tab w:val="center" w:pos="4680"/>
        <w:tab w:val="right" w:pos="9360"/>
      </w:tabs>
    </w:pPr>
  </w:style>
  <w:style w:type="character" w:customStyle="1" w:styleId="FooterChar">
    <w:name w:val="Footer Char"/>
    <w:basedOn w:val="DefaultParagraphFont"/>
    <w:link w:val="Footer"/>
    <w:uiPriority w:val="99"/>
    <w:rsid w:val="00A72F93"/>
    <w:rPr>
      <w:rFonts w:asciiTheme="minorHAnsi" w:hAnsiTheme="minorHAnsi" w:cstheme="minorBidi"/>
      <w:szCs w:val="24"/>
    </w:rPr>
  </w:style>
  <w:style w:type="character" w:styleId="PageNumber">
    <w:name w:val="page number"/>
    <w:basedOn w:val="DefaultParagraphFont"/>
    <w:uiPriority w:val="99"/>
    <w:semiHidden/>
    <w:unhideWhenUsed/>
    <w:rsid w:val="00A72F93"/>
  </w:style>
  <w:style w:type="paragraph" w:styleId="Header">
    <w:name w:val="header"/>
    <w:basedOn w:val="Normal"/>
    <w:link w:val="HeaderChar"/>
    <w:uiPriority w:val="99"/>
    <w:unhideWhenUsed/>
    <w:rsid w:val="00A72F93"/>
    <w:pPr>
      <w:tabs>
        <w:tab w:val="center" w:pos="4680"/>
        <w:tab w:val="right" w:pos="9360"/>
      </w:tabs>
    </w:pPr>
  </w:style>
  <w:style w:type="character" w:customStyle="1" w:styleId="HeaderChar">
    <w:name w:val="Header Char"/>
    <w:basedOn w:val="DefaultParagraphFont"/>
    <w:link w:val="Header"/>
    <w:uiPriority w:val="99"/>
    <w:rsid w:val="00A72F93"/>
    <w:rPr>
      <w:rFonts w:asciiTheme="minorHAnsi" w:hAnsiTheme="minorHAnsi" w:cstheme="minorBidi"/>
      <w:szCs w:val="24"/>
    </w:rPr>
  </w:style>
  <w:style w:type="paragraph" w:customStyle="1" w:styleId="paragraph">
    <w:name w:val="paragraph"/>
    <w:basedOn w:val="Normal"/>
    <w:rsid w:val="00F5462F"/>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DefaultParagraphFont"/>
    <w:rsid w:val="00F5462F"/>
  </w:style>
  <w:style w:type="character" w:customStyle="1" w:styleId="eop">
    <w:name w:val="eop"/>
    <w:basedOn w:val="DefaultParagraphFont"/>
    <w:rsid w:val="00F5462F"/>
  </w:style>
  <w:style w:type="character" w:customStyle="1" w:styleId="superscript">
    <w:name w:val="superscript"/>
    <w:basedOn w:val="DefaultParagraphFont"/>
    <w:rsid w:val="00F5462F"/>
  </w:style>
  <w:style w:type="paragraph" w:styleId="FootnoteText">
    <w:name w:val="footnote text"/>
    <w:basedOn w:val="Normal"/>
    <w:link w:val="FootnoteTextChar"/>
    <w:uiPriority w:val="99"/>
    <w:semiHidden/>
    <w:unhideWhenUsed/>
    <w:rsid w:val="00F5462F"/>
    <w:rPr>
      <w:sz w:val="20"/>
      <w:szCs w:val="20"/>
    </w:rPr>
  </w:style>
  <w:style w:type="character" w:customStyle="1" w:styleId="FootnoteTextChar">
    <w:name w:val="Footnote Text Char"/>
    <w:basedOn w:val="DefaultParagraphFont"/>
    <w:link w:val="FootnoteText"/>
    <w:uiPriority w:val="99"/>
    <w:semiHidden/>
    <w:rsid w:val="00F5462F"/>
    <w:rPr>
      <w:rFonts w:asciiTheme="minorHAnsi" w:hAnsiTheme="minorHAnsi" w:cstheme="minorBidi"/>
      <w:sz w:val="20"/>
    </w:rPr>
  </w:style>
  <w:style w:type="character" w:styleId="FootnoteReference">
    <w:name w:val="footnote reference"/>
    <w:basedOn w:val="DefaultParagraphFont"/>
    <w:uiPriority w:val="99"/>
    <w:semiHidden/>
    <w:unhideWhenUsed/>
    <w:rsid w:val="00F5462F"/>
    <w:rPr>
      <w:vertAlign w:val="superscript"/>
    </w:rPr>
  </w:style>
  <w:style w:type="character" w:styleId="UnresolvedMention">
    <w:name w:val="Unresolved Mention"/>
    <w:basedOn w:val="DefaultParagraphFont"/>
    <w:uiPriority w:val="99"/>
    <w:rsid w:val="0034315E"/>
    <w:rPr>
      <w:color w:val="605E5C"/>
      <w:shd w:val="clear" w:color="auto" w:fill="E1DFDD"/>
    </w:rPr>
  </w:style>
  <w:style w:type="character" w:styleId="FollowedHyperlink">
    <w:name w:val="FollowedHyperlink"/>
    <w:basedOn w:val="DefaultParagraphFont"/>
    <w:uiPriority w:val="99"/>
    <w:semiHidden/>
    <w:unhideWhenUsed/>
    <w:rsid w:val="0021592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23881346">
      <w:bodyDiv w:val="1"/>
      <w:marLeft w:val="0"/>
      <w:marRight w:val="0"/>
      <w:marTop w:val="0"/>
      <w:marBottom w:val="0"/>
      <w:divBdr>
        <w:top w:val="none" w:sz="0" w:space="0" w:color="auto"/>
        <w:left w:val="none" w:sz="0" w:space="0" w:color="auto"/>
        <w:bottom w:val="none" w:sz="0" w:space="0" w:color="auto"/>
        <w:right w:val="none" w:sz="0" w:space="0" w:color="auto"/>
      </w:divBdr>
      <w:divsChild>
        <w:div w:id="1954094434">
          <w:marLeft w:val="0"/>
          <w:marRight w:val="0"/>
          <w:marTop w:val="0"/>
          <w:marBottom w:val="0"/>
          <w:divBdr>
            <w:top w:val="none" w:sz="0" w:space="0" w:color="auto"/>
            <w:left w:val="none" w:sz="0" w:space="0" w:color="auto"/>
            <w:bottom w:val="none" w:sz="0" w:space="0" w:color="auto"/>
            <w:right w:val="none" w:sz="0" w:space="0" w:color="auto"/>
          </w:divBdr>
        </w:div>
        <w:div w:id="1382246534">
          <w:marLeft w:val="0"/>
          <w:marRight w:val="0"/>
          <w:marTop w:val="0"/>
          <w:marBottom w:val="0"/>
          <w:divBdr>
            <w:top w:val="none" w:sz="0" w:space="0" w:color="auto"/>
            <w:left w:val="none" w:sz="0" w:space="0" w:color="auto"/>
            <w:bottom w:val="none" w:sz="0" w:space="0" w:color="auto"/>
            <w:right w:val="none" w:sz="0" w:space="0" w:color="auto"/>
          </w:divBdr>
        </w:div>
        <w:div w:id="368266738">
          <w:marLeft w:val="0"/>
          <w:marRight w:val="0"/>
          <w:marTop w:val="0"/>
          <w:marBottom w:val="0"/>
          <w:divBdr>
            <w:top w:val="none" w:sz="0" w:space="0" w:color="auto"/>
            <w:left w:val="none" w:sz="0" w:space="0" w:color="auto"/>
            <w:bottom w:val="none" w:sz="0" w:space="0" w:color="auto"/>
            <w:right w:val="none" w:sz="0" w:space="0" w:color="auto"/>
          </w:divBdr>
        </w:div>
        <w:div w:id="1656376471">
          <w:marLeft w:val="0"/>
          <w:marRight w:val="0"/>
          <w:marTop w:val="0"/>
          <w:marBottom w:val="0"/>
          <w:divBdr>
            <w:top w:val="none" w:sz="0" w:space="0" w:color="auto"/>
            <w:left w:val="none" w:sz="0" w:space="0" w:color="auto"/>
            <w:bottom w:val="none" w:sz="0" w:space="0" w:color="auto"/>
            <w:right w:val="none" w:sz="0" w:space="0" w:color="auto"/>
          </w:divBdr>
        </w:div>
        <w:div w:id="1782214356">
          <w:marLeft w:val="0"/>
          <w:marRight w:val="0"/>
          <w:marTop w:val="0"/>
          <w:marBottom w:val="0"/>
          <w:divBdr>
            <w:top w:val="none" w:sz="0" w:space="0" w:color="auto"/>
            <w:left w:val="none" w:sz="0" w:space="0" w:color="auto"/>
            <w:bottom w:val="none" w:sz="0" w:space="0" w:color="auto"/>
            <w:right w:val="none" w:sz="0" w:space="0" w:color="auto"/>
          </w:divBdr>
        </w:div>
        <w:div w:id="1748527716">
          <w:marLeft w:val="0"/>
          <w:marRight w:val="0"/>
          <w:marTop w:val="0"/>
          <w:marBottom w:val="0"/>
          <w:divBdr>
            <w:top w:val="none" w:sz="0" w:space="0" w:color="auto"/>
            <w:left w:val="none" w:sz="0" w:space="0" w:color="auto"/>
            <w:bottom w:val="none" w:sz="0" w:space="0" w:color="auto"/>
            <w:right w:val="none" w:sz="0" w:space="0" w:color="auto"/>
          </w:divBdr>
        </w:div>
        <w:div w:id="643579749">
          <w:marLeft w:val="0"/>
          <w:marRight w:val="0"/>
          <w:marTop w:val="0"/>
          <w:marBottom w:val="0"/>
          <w:divBdr>
            <w:top w:val="none" w:sz="0" w:space="0" w:color="auto"/>
            <w:left w:val="none" w:sz="0" w:space="0" w:color="auto"/>
            <w:bottom w:val="none" w:sz="0" w:space="0" w:color="auto"/>
            <w:right w:val="none" w:sz="0" w:space="0" w:color="auto"/>
          </w:divBdr>
        </w:div>
        <w:div w:id="339551017">
          <w:marLeft w:val="0"/>
          <w:marRight w:val="0"/>
          <w:marTop w:val="0"/>
          <w:marBottom w:val="0"/>
          <w:divBdr>
            <w:top w:val="none" w:sz="0" w:space="0" w:color="auto"/>
            <w:left w:val="none" w:sz="0" w:space="0" w:color="auto"/>
            <w:bottom w:val="none" w:sz="0" w:space="0" w:color="auto"/>
            <w:right w:val="none" w:sz="0" w:space="0" w:color="auto"/>
          </w:divBdr>
        </w:div>
        <w:div w:id="1970671252">
          <w:marLeft w:val="0"/>
          <w:marRight w:val="0"/>
          <w:marTop w:val="0"/>
          <w:marBottom w:val="0"/>
          <w:divBdr>
            <w:top w:val="none" w:sz="0" w:space="0" w:color="auto"/>
            <w:left w:val="none" w:sz="0" w:space="0" w:color="auto"/>
            <w:bottom w:val="none" w:sz="0" w:space="0" w:color="auto"/>
            <w:right w:val="none" w:sz="0" w:space="0" w:color="auto"/>
          </w:divBdr>
        </w:div>
        <w:div w:id="1637027924">
          <w:marLeft w:val="0"/>
          <w:marRight w:val="0"/>
          <w:marTop w:val="0"/>
          <w:marBottom w:val="0"/>
          <w:divBdr>
            <w:top w:val="none" w:sz="0" w:space="0" w:color="auto"/>
            <w:left w:val="none" w:sz="0" w:space="0" w:color="auto"/>
            <w:bottom w:val="none" w:sz="0" w:space="0" w:color="auto"/>
            <w:right w:val="none" w:sz="0" w:space="0" w:color="auto"/>
          </w:divBdr>
        </w:div>
        <w:div w:id="97873939">
          <w:marLeft w:val="0"/>
          <w:marRight w:val="0"/>
          <w:marTop w:val="0"/>
          <w:marBottom w:val="0"/>
          <w:divBdr>
            <w:top w:val="none" w:sz="0" w:space="0" w:color="auto"/>
            <w:left w:val="none" w:sz="0" w:space="0" w:color="auto"/>
            <w:bottom w:val="none" w:sz="0" w:space="0" w:color="auto"/>
            <w:right w:val="none" w:sz="0" w:space="0" w:color="auto"/>
          </w:divBdr>
        </w:div>
        <w:div w:id="1064716188">
          <w:marLeft w:val="0"/>
          <w:marRight w:val="0"/>
          <w:marTop w:val="0"/>
          <w:marBottom w:val="0"/>
          <w:divBdr>
            <w:top w:val="none" w:sz="0" w:space="0" w:color="auto"/>
            <w:left w:val="none" w:sz="0" w:space="0" w:color="auto"/>
            <w:bottom w:val="none" w:sz="0" w:space="0" w:color="auto"/>
            <w:right w:val="none" w:sz="0" w:space="0" w:color="auto"/>
          </w:divBdr>
        </w:div>
        <w:div w:id="995568781">
          <w:marLeft w:val="0"/>
          <w:marRight w:val="0"/>
          <w:marTop w:val="0"/>
          <w:marBottom w:val="0"/>
          <w:divBdr>
            <w:top w:val="none" w:sz="0" w:space="0" w:color="auto"/>
            <w:left w:val="none" w:sz="0" w:space="0" w:color="auto"/>
            <w:bottom w:val="none" w:sz="0" w:space="0" w:color="auto"/>
            <w:right w:val="none" w:sz="0" w:space="0" w:color="auto"/>
          </w:divBdr>
        </w:div>
        <w:div w:id="891427386">
          <w:marLeft w:val="0"/>
          <w:marRight w:val="0"/>
          <w:marTop w:val="0"/>
          <w:marBottom w:val="0"/>
          <w:divBdr>
            <w:top w:val="none" w:sz="0" w:space="0" w:color="auto"/>
            <w:left w:val="none" w:sz="0" w:space="0" w:color="auto"/>
            <w:bottom w:val="none" w:sz="0" w:space="0" w:color="auto"/>
            <w:right w:val="none" w:sz="0" w:space="0" w:color="auto"/>
          </w:divBdr>
        </w:div>
        <w:div w:id="550773086">
          <w:marLeft w:val="0"/>
          <w:marRight w:val="0"/>
          <w:marTop w:val="0"/>
          <w:marBottom w:val="0"/>
          <w:divBdr>
            <w:top w:val="none" w:sz="0" w:space="0" w:color="auto"/>
            <w:left w:val="none" w:sz="0" w:space="0" w:color="auto"/>
            <w:bottom w:val="none" w:sz="0" w:space="0" w:color="auto"/>
            <w:right w:val="none" w:sz="0" w:space="0" w:color="auto"/>
          </w:divBdr>
        </w:div>
        <w:div w:id="600376103">
          <w:marLeft w:val="0"/>
          <w:marRight w:val="0"/>
          <w:marTop w:val="0"/>
          <w:marBottom w:val="0"/>
          <w:divBdr>
            <w:top w:val="none" w:sz="0" w:space="0" w:color="auto"/>
            <w:left w:val="none" w:sz="0" w:space="0" w:color="auto"/>
            <w:bottom w:val="none" w:sz="0" w:space="0" w:color="auto"/>
            <w:right w:val="none" w:sz="0" w:space="0" w:color="auto"/>
          </w:divBdr>
        </w:div>
        <w:div w:id="1950696663">
          <w:marLeft w:val="0"/>
          <w:marRight w:val="0"/>
          <w:marTop w:val="0"/>
          <w:marBottom w:val="0"/>
          <w:divBdr>
            <w:top w:val="none" w:sz="0" w:space="0" w:color="auto"/>
            <w:left w:val="none" w:sz="0" w:space="0" w:color="auto"/>
            <w:bottom w:val="none" w:sz="0" w:space="0" w:color="auto"/>
            <w:right w:val="none" w:sz="0" w:space="0" w:color="auto"/>
          </w:divBdr>
        </w:div>
        <w:div w:id="2108844592">
          <w:marLeft w:val="0"/>
          <w:marRight w:val="0"/>
          <w:marTop w:val="0"/>
          <w:marBottom w:val="0"/>
          <w:divBdr>
            <w:top w:val="none" w:sz="0" w:space="0" w:color="auto"/>
            <w:left w:val="none" w:sz="0" w:space="0" w:color="auto"/>
            <w:bottom w:val="none" w:sz="0" w:space="0" w:color="auto"/>
            <w:right w:val="none" w:sz="0" w:space="0" w:color="auto"/>
          </w:divBdr>
        </w:div>
        <w:div w:id="1727214263">
          <w:marLeft w:val="0"/>
          <w:marRight w:val="0"/>
          <w:marTop w:val="0"/>
          <w:marBottom w:val="0"/>
          <w:divBdr>
            <w:top w:val="none" w:sz="0" w:space="0" w:color="auto"/>
            <w:left w:val="none" w:sz="0" w:space="0" w:color="auto"/>
            <w:bottom w:val="none" w:sz="0" w:space="0" w:color="auto"/>
            <w:right w:val="none" w:sz="0" w:space="0" w:color="auto"/>
          </w:divBdr>
        </w:div>
        <w:div w:id="842624963">
          <w:marLeft w:val="0"/>
          <w:marRight w:val="0"/>
          <w:marTop w:val="0"/>
          <w:marBottom w:val="0"/>
          <w:divBdr>
            <w:top w:val="none" w:sz="0" w:space="0" w:color="auto"/>
            <w:left w:val="none" w:sz="0" w:space="0" w:color="auto"/>
            <w:bottom w:val="none" w:sz="0" w:space="0" w:color="auto"/>
            <w:right w:val="none" w:sz="0" w:space="0" w:color="auto"/>
          </w:divBdr>
        </w:div>
      </w:divsChild>
    </w:div>
    <w:div w:id="1301232038">
      <w:bodyDiv w:val="1"/>
      <w:marLeft w:val="0"/>
      <w:marRight w:val="0"/>
      <w:marTop w:val="0"/>
      <w:marBottom w:val="0"/>
      <w:divBdr>
        <w:top w:val="none" w:sz="0" w:space="0" w:color="auto"/>
        <w:left w:val="none" w:sz="0" w:space="0" w:color="auto"/>
        <w:bottom w:val="none" w:sz="0" w:space="0" w:color="auto"/>
        <w:right w:val="none" w:sz="0" w:space="0" w:color="auto"/>
      </w:divBdr>
      <w:divsChild>
        <w:div w:id="1465152940">
          <w:marLeft w:val="0"/>
          <w:marRight w:val="0"/>
          <w:marTop w:val="0"/>
          <w:marBottom w:val="0"/>
          <w:divBdr>
            <w:top w:val="none" w:sz="0" w:space="0" w:color="auto"/>
            <w:left w:val="none" w:sz="0" w:space="0" w:color="auto"/>
            <w:bottom w:val="none" w:sz="0" w:space="0" w:color="auto"/>
            <w:right w:val="none" w:sz="0" w:space="0" w:color="auto"/>
          </w:divBdr>
        </w:div>
        <w:div w:id="2107654431">
          <w:marLeft w:val="0"/>
          <w:marRight w:val="0"/>
          <w:marTop w:val="0"/>
          <w:marBottom w:val="0"/>
          <w:divBdr>
            <w:top w:val="none" w:sz="0" w:space="0" w:color="auto"/>
            <w:left w:val="none" w:sz="0" w:space="0" w:color="auto"/>
            <w:bottom w:val="none" w:sz="0" w:space="0" w:color="auto"/>
            <w:right w:val="none" w:sz="0" w:space="0" w:color="auto"/>
          </w:divBdr>
        </w:div>
        <w:div w:id="1854415275">
          <w:marLeft w:val="0"/>
          <w:marRight w:val="0"/>
          <w:marTop w:val="0"/>
          <w:marBottom w:val="0"/>
          <w:divBdr>
            <w:top w:val="none" w:sz="0" w:space="0" w:color="auto"/>
            <w:left w:val="none" w:sz="0" w:space="0" w:color="auto"/>
            <w:bottom w:val="none" w:sz="0" w:space="0" w:color="auto"/>
            <w:right w:val="none" w:sz="0" w:space="0" w:color="auto"/>
          </w:divBdr>
        </w:div>
        <w:div w:id="492842948">
          <w:marLeft w:val="0"/>
          <w:marRight w:val="0"/>
          <w:marTop w:val="0"/>
          <w:marBottom w:val="0"/>
          <w:divBdr>
            <w:top w:val="none" w:sz="0" w:space="0" w:color="auto"/>
            <w:left w:val="none" w:sz="0" w:space="0" w:color="auto"/>
            <w:bottom w:val="none" w:sz="0" w:space="0" w:color="auto"/>
            <w:right w:val="none" w:sz="0" w:space="0" w:color="auto"/>
          </w:divBdr>
        </w:div>
        <w:div w:id="2114545179">
          <w:marLeft w:val="0"/>
          <w:marRight w:val="0"/>
          <w:marTop w:val="0"/>
          <w:marBottom w:val="0"/>
          <w:divBdr>
            <w:top w:val="none" w:sz="0" w:space="0" w:color="auto"/>
            <w:left w:val="none" w:sz="0" w:space="0" w:color="auto"/>
            <w:bottom w:val="none" w:sz="0" w:space="0" w:color="auto"/>
            <w:right w:val="none" w:sz="0" w:space="0" w:color="auto"/>
          </w:divBdr>
        </w:div>
        <w:div w:id="1125349301">
          <w:marLeft w:val="0"/>
          <w:marRight w:val="0"/>
          <w:marTop w:val="0"/>
          <w:marBottom w:val="0"/>
          <w:divBdr>
            <w:top w:val="none" w:sz="0" w:space="0" w:color="auto"/>
            <w:left w:val="none" w:sz="0" w:space="0" w:color="auto"/>
            <w:bottom w:val="none" w:sz="0" w:space="0" w:color="auto"/>
            <w:right w:val="none" w:sz="0" w:space="0" w:color="auto"/>
          </w:divBdr>
        </w:div>
        <w:div w:id="280958425">
          <w:marLeft w:val="0"/>
          <w:marRight w:val="0"/>
          <w:marTop w:val="0"/>
          <w:marBottom w:val="0"/>
          <w:divBdr>
            <w:top w:val="none" w:sz="0" w:space="0" w:color="auto"/>
            <w:left w:val="none" w:sz="0" w:space="0" w:color="auto"/>
            <w:bottom w:val="none" w:sz="0" w:space="0" w:color="auto"/>
            <w:right w:val="none" w:sz="0" w:space="0" w:color="auto"/>
          </w:divBdr>
        </w:div>
        <w:div w:id="869801950">
          <w:marLeft w:val="0"/>
          <w:marRight w:val="0"/>
          <w:marTop w:val="0"/>
          <w:marBottom w:val="0"/>
          <w:divBdr>
            <w:top w:val="none" w:sz="0" w:space="0" w:color="auto"/>
            <w:left w:val="none" w:sz="0" w:space="0" w:color="auto"/>
            <w:bottom w:val="none" w:sz="0" w:space="0" w:color="auto"/>
            <w:right w:val="none" w:sz="0" w:space="0" w:color="auto"/>
          </w:divBdr>
        </w:div>
        <w:div w:id="228152035">
          <w:marLeft w:val="0"/>
          <w:marRight w:val="0"/>
          <w:marTop w:val="0"/>
          <w:marBottom w:val="0"/>
          <w:divBdr>
            <w:top w:val="none" w:sz="0" w:space="0" w:color="auto"/>
            <w:left w:val="none" w:sz="0" w:space="0" w:color="auto"/>
            <w:bottom w:val="none" w:sz="0" w:space="0" w:color="auto"/>
            <w:right w:val="none" w:sz="0" w:space="0" w:color="auto"/>
          </w:divBdr>
        </w:div>
        <w:div w:id="1955744762">
          <w:marLeft w:val="0"/>
          <w:marRight w:val="0"/>
          <w:marTop w:val="0"/>
          <w:marBottom w:val="0"/>
          <w:divBdr>
            <w:top w:val="none" w:sz="0" w:space="0" w:color="auto"/>
            <w:left w:val="none" w:sz="0" w:space="0" w:color="auto"/>
            <w:bottom w:val="none" w:sz="0" w:space="0" w:color="auto"/>
            <w:right w:val="none" w:sz="0" w:space="0" w:color="auto"/>
          </w:divBdr>
        </w:div>
        <w:div w:id="1644188459">
          <w:marLeft w:val="0"/>
          <w:marRight w:val="0"/>
          <w:marTop w:val="0"/>
          <w:marBottom w:val="0"/>
          <w:divBdr>
            <w:top w:val="none" w:sz="0" w:space="0" w:color="auto"/>
            <w:left w:val="none" w:sz="0" w:space="0" w:color="auto"/>
            <w:bottom w:val="none" w:sz="0" w:space="0" w:color="auto"/>
            <w:right w:val="none" w:sz="0" w:space="0" w:color="auto"/>
          </w:divBdr>
        </w:div>
        <w:div w:id="717826721">
          <w:marLeft w:val="0"/>
          <w:marRight w:val="0"/>
          <w:marTop w:val="0"/>
          <w:marBottom w:val="0"/>
          <w:divBdr>
            <w:top w:val="none" w:sz="0" w:space="0" w:color="auto"/>
            <w:left w:val="none" w:sz="0" w:space="0" w:color="auto"/>
            <w:bottom w:val="none" w:sz="0" w:space="0" w:color="auto"/>
            <w:right w:val="none" w:sz="0" w:space="0" w:color="auto"/>
          </w:divBdr>
        </w:div>
        <w:div w:id="2046632111">
          <w:marLeft w:val="0"/>
          <w:marRight w:val="0"/>
          <w:marTop w:val="0"/>
          <w:marBottom w:val="0"/>
          <w:divBdr>
            <w:top w:val="none" w:sz="0" w:space="0" w:color="auto"/>
            <w:left w:val="none" w:sz="0" w:space="0" w:color="auto"/>
            <w:bottom w:val="none" w:sz="0" w:space="0" w:color="auto"/>
            <w:right w:val="none" w:sz="0" w:space="0" w:color="auto"/>
          </w:divBdr>
        </w:div>
        <w:div w:id="1506435509">
          <w:marLeft w:val="0"/>
          <w:marRight w:val="0"/>
          <w:marTop w:val="0"/>
          <w:marBottom w:val="0"/>
          <w:divBdr>
            <w:top w:val="none" w:sz="0" w:space="0" w:color="auto"/>
            <w:left w:val="none" w:sz="0" w:space="0" w:color="auto"/>
            <w:bottom w:val="none" w:sz="0" w:space="0" w:color="auto"/>
            <w:right w:val="none" w:sz="0" w:space="0" w:color="auto"/>
          </w:divBdr>
        </w:div>
        <w:div w:id="2144303807">
          <w:marLeft w:val="0"/>
          <w:marRight w:val="0"/>
          <w:marTop w:val="0"/>
          <w:marBottom w:val="0"/>
          <w:divBdr>
            <w:top w:val="none" w:sz="0" w:space="0" w:color="auto"/>
            <w:left w:val="none" w:sz="0" w:space="0" w:color="auto"/>
            <w:bottom w:val="none" w:sz="0" w:space="0" w:color="auto"/>
            <w:right w:val="none" w:sz="0" w:space="0" w:color="auto"/>
          </w:divBdr>
        </w:div>
        <w:div w:id="402794864">
          <w:marLeft w:val="0"/>
          <w:marRight w:val="0"/>
          <w:marTop w:val="0"/>
          <w:marBottom w:val="0"/>
          <w:divBdr>
            <w:top w:val="none" w:sz="0" w:space="0" w:color="auto"/>
            <w:left w:val="none" w:sz="0" w:space="0" w:color="auto"/>
            <w:bottom w:val="none" w:sz="0" w:space="0" w:color="auto"/>
            <w:right w:val="none" w:sz="0" w:space="0" w:color="auto"/>
          </w:divBdr>
        </w:div>
        <w:div w:id="1400782927">
          <w:marLeft w:val="0"/>
          <w:marRight w:val="0"/>
          <w:marTop w:val="0"/>
          <w:marBottom w:val="0"/>
          <w:divBdr>
            <w:top w:val="none" w:sz="0" w:space="0" w:color="auto"/>
            <w:left w:val="none" w:sz="0" w:space="0" w:color="auto"/>
            <w:bottom w:val="none" w:sz="0" w:space="0" w:color="auto"/>
            <w:right w:val="none" w:sz="0" w:space="0" w:color="auto"/>
          </w:divBdr>
        </w:div>
        <w:div w:id="1022050571">
          <w:marLeft w:val="0"/>
          <w:marRight w:val="0"/>
          <w:marTop w:val="0"/>
          <w:marBottom w:val="0"/>
          <w:divBdr>
            <w:top w:val="none" w:sz="0" w:space="0" w:color="auto"/>
            <w:left w:val="none" w:sz="0" w:space="0" w:color="auto"/>
            <w:bottom w:val="none" w:sz="0" w:space="0" w:color="auto"/>
            <w:right w:val="none" w:sz="0" w:space="0" w:color="auto"/>
          </w:divBdr>
        </w:div>
        <w:div w:id="1455322706">
          <w:marLeft w:val="0"/>
          <w:marRight w:val="0"/>
          <w:marTop w:val="0"/>
          <w:marBottom w:val="0"/>
          <w:divBdr>
            <w:top w:val="none" w:sz="0" w:space="0" w:color="auto"/>
            <w:left w:val="none" w:sz="0" w:space="0" w:color="auto"/>
            <w:bottom w:val="none" w:sz="0" w:space="0" w:color="auto"/>
            <w:right w:val="none" w:sz="0" w:space="0" w:color="auto"/>
          </w:divBdr>
        </w:div>
        <w:div w:id="1583638544">
          <w:marLeft w:val="0"/>
          <w:marRight w:val="0"/>
          <w:marTop w:val="0"/>
          <w:marBottom w:val="0"/>
          <w:divBdr>
            <w:top w:val="none" w:sz="0" w:space="0" w:color="auto"/>
            <w:left w:val="none" w:sz="0" w:space="0" w:color="auto"/>
            <w:bottom w:val="none" w:sz="0" w:space="0" w:color="auto"/>
            <w:right w:val="none" w:sz="0" w:space="0" w:color="auto"/>
          </w:divBdr>
        </w:div>
      </w:divsChild>
    </w:div>
    <w:div w:id="2044403006">
      <w:bodyDiv w:val="1"/>
      <w:marLeft w:val="0"/>
      <w:marRight w:val="0"/>
      <w:marTop w:val="0"/>
      <w:marBottom w:val="0"/>
      <w:divBdr>
        <w:top w:val="none" w:sz="0" w:space="0" w:color="auto"/>
        <w:left w:val="none" w:sz="0" w:space="0" w:color="auto"/>
        <w:bottom w:val="none" w:sz="0" w:space="0" w:color="auto"/>
        <w:right w:val="none" w:sz="0" w:space="0" w:color="auto"/>
      </w:divBdr>
      <w:divsChild>
        <w:div w:id="539711224">
          <w:marLeft w:val="0"/>
          <w:marRight w:val="0"/>
          <w:marTop w:val="0"/>
          <w:marBottom w:val="0"/>
          <w:divBdr>
            <w:top w:val="none" w:sz="0" w:space="0" w:color="auto"/>
            <w:left w:val="none" w:sz="0" w:space="0" w:color="auto"/>
            <w:bottom w:val="none" w:sz="0" w:space="0" w:color="auto"/>
            <w:right w:val="none" w:sz="0" w:space="0" w:color="auto"/>
          </w:divBdr>
        </w:div>
        <w:div w:id="8265609">
          <w:marLeft w:val="0"/>
          <w:marRight w:val="0"/>
          <w:marTop w:val="0"/>
          <w:marBottom w:val="0"/>
          <w:divBdr>
            <w:top w:val="none" w:sz="0" w:space="0" w:color="auto"/>
            <w:left w:val="none" w:sz="0" w:space="0" w:color="auto"/>
            <w:bottom w:val="none" w:sz="0" w:space="0" w:color="auto"/>
            <w:right w:val="none" w:sz="0" w:space="0" w:color="auto"/>
          </w:divBdr>
        </w:div>
        <w:div w:id="1629050289">
          <w:marLeft w:val="0"/>
          <w:marRight w:val="0"/>
          <w:marTop w:val="0"/>
          <w:marBottom w:val="0"/>
          <w:divBdr>
            <w:top w:val="none" w:sz="0" w:space="0" w:color="auto"/>
            <w:left w:val="none" w:sz="0" w:space="0" w:color="auto"/>
            <w:bottom w:val="none" w:sz="0" w:space="0" w:color="auto"/>
            <w:right w:val="none" w:sz="0" w:space="0" w:color="auto"/>
          </w:divBdr>
        </w:div>
        <w:div w:id="165945057">
          <w:marLeft w:val="0"/>
          <w:marRight w:val="0"/>
          <w:marTop w:val="0"/>
          <w:marBottom w:val="0"/>
          <w:divBdr>
            <w:top w:val="none" w:sz="0" w:space="0" w:color="auto"/>
            <w:left w:val="none" w:sz="0" w:space="0" w:color="auto"/>
            <w:bottom w:val="none" w:sz="0" w:space="0" w:color="auto"/>
            <w:right w:val="none" w:sz="0" w:space="0" w:color="auto"/>
          </w:divBdr>
        </w:div>
        <w:div w:id="577635601">
          <w:marLeft w:val="0"/>
          <w:marRight w:val="0"/>
          <w:marTop w:val="0"/>
          <w:marBottom w:val="0"/>
          <w:divBdr>
            <w:top w:val="none" w:sz="0" w:space="0" w:color="auto"/>
            <w:left w:val="none" w:sz="0" w:space="0" w:color="auto"/>
            <w:bottom w:val="none" w:sz="0" w:space="0" w:color="auto"/>
            <w:right w:val="none" w:sz="0" w:space="0" w:color="auto"/>
          </w:divBdr>
        </w:div>
        <w:div w:id="1973748929">
          <w:marLeft w:val="0"/>
          <w:marRight w:val="0"/>
          <w:marTop w:val="0"/>
          <w:marBottom w:val="0"/>
          <w:divBdr>
            <w:top w:val="none" w:sz="0" w:space="0" w:color="auto"/>
            <w:left w:val="none" w:sz="0" w:space="0" w:color="auto"/>
            <w:bottom w:val="none" w:sz="0" w:space="0" w:color="auto"/>
            <w:right w:val="none" w:sz="0" w:space="0" w:color="auto"/>
          </w:divBdr>
        </w:div>
        <w:div w:id="1916282817">
          <w:marLeft w:val="0"/>
          <w:marRight w:val="0"/>
          <w:marTop w:val="0"/>
          <w:marBottom w:val="0"/>
          <w:divBdr>
            <w:top w:val="none" w:sz="0" w:space="0" w:color="auto"/>
            <w:left w:val="none" w:sz="0" w:space="0" w:color="auto"/>
            <w:bottom w:val="none" w:sz="0" w:space="0" w:color="auto"/>
            <w:right w:val="none" w:sz="0" w:space="0" w:color="auto"/>
          </w:divBdr>
        </w:div>
        <w:div w:id="414668371">
          <w:marLeft w:val="0"/>
          <w:marRight w:val="0"/>
          <w:marTop w:val="0"/>
          <w:marBottom w:val="0"/>
          <w:divBdr>
            <w:top w:val="none" w:sz="0" w:space="0" w:color="auto"/>
            <w:left w:val="none" w:sz="0" w:space="0" w:color="auto"/>
            <w:bottom w:val="none" w:sz="0" w:space="0" w:color="auto"/>
            <w:right w:val="none" w:sz="0" w:space="0" w:color="auto"/>
          </w:divBdr>
        </w:div>
        <w:div w:id="1193953824">
          <w:marLeft w:val="0"/>
          <w:marRight w:val="0"/>
          <w:marTop w:val="0"/>
          <w:marBottom w:val="0"/>
          <w:divBdr>
            <w:top w:val="none" w:sz="0" w:space="0" w:color="auto"/>
            <w:left w:val="none" w:sz="0" w:space="0" w:color="auto"/>
            <w:bottom w:val="none" w:sz="0" w:space="0" w:color="auto"/>
            <w:right w:val="none" w:sz="0" w:space="0" w:color="auto"/>
          </w:divBdr>
        </w:div>
        <w:div w:id="1036464728">
          <w:marLeft w:val="0"/>
          <w:marRight w:val="0"/>
          <w:marTop w:val="0"/>
          <w:marBottom w:val="0"/>
          <w:divBdr>
            <w:top w:val="none" w:sz="0" w:space="0" w:color="auto"/>
            <w:left w:val="none" w:sz="0" w:space="0" w:color="auto"/>
            <w:bottom w:val="none" w:sz="0" w:space="0" w:color="auto"/>
            <w:right w:val="none" w:sz="0" w:space="0" w:color="auto"/>
          </w:divBdr>
        </w:div>
        <w:div w:id="1886021504">
          <w:marLeft w:val="0"/>
          <w:marRight w:val="0"/>
          <w:marTop w:val="0"/>
          <w:marBottom w:val="0"/>
          <w:divBdr>
            <w:top w:val="none" w:sz="0" w:space="0" w:color="auto"/>
            <w:left w:val="none" w:sz="0" w:space="0" w:color="auto"/>
            <w:bottom w:val="none" w:sz="0" w:space="0" w:color="auto"/>
            <w:right w:val="none" w:sz="0" w:space="0" w:color="auto"/>
          </w:divBdr>
        </w:div>
        <w:div w:id="1334991016">
          <w:marLeft w:val="0"/>
          <w:marRight w:val="0"/>
          <w:marTop w:val="0"/>
          <w:marBottom w:val="0"/>
          <w:divBdr>
            <w:top w:val="none" w:sz="0" w:space="0" w:color="auto"/>
            <w:left w:val="none" w:sz="0" w:space="0" w:color="auto"/>
            <w:bottom w:val="none" w:sz="0" w:space="0" w:color="auto"/>
            <w:right w:val="none" w:sz="0" w:space="0" w:color="auto"/>
          </w:divBdr>
        </w:div>
        <w:div w:id="1418138548">
          <w:marLeft w:val="0"/>
          <w:marRight w:val="0"/>
          <w:marTop w:val="0"/>
          <w:marBottom w:val="0"/>
          <w:divBdr>
            <w:top w:val="none" w:sz="0" w:space="0" w:color="auto"/>
            <w:left w:val="none" w:sz="0" w:space="0" w:color="auto"/>
            <w:bottom w:val="none" w:sz="0" w:space="0" w:color="auto"/>
            <w:right w:val="none" w:sz="0" w:space="0" w:color="auto"/>
          </w:divBdr>
        </w:div>
        <w:div w:id="1692223442">
          <w:marLeft w:val="0"/>
          <w:marRight w:val="0"/>
          <w:marTop w:val="0"/>
          <w:marBottom w:val="0"/>
          <w:divBdr>
            <w:top w:val="none" w:sz="0" w:space="0" w:color="auto"/>
            <w:left w:val="none" w:sz="0" w:space="0" w:color="auto"/>
            <w:bottom w:val="none" w:sz="0" w:space="0" w:color="auto"/>
            <w:right w:val="none" w:sz="0" w:space="0" w:color="auto"/>
          </w:divBdr>
        </w:div>
        <w:div w:id="1733653034">
          <w:marLeft w:val="0"/>
          <w:marRight w:val="0"/>
          <w:marTop w:val="0"/>
          <w:marBottom w:val="0"/>
          <w:divBdr>
            <w:top w:val="none" w:sz="0" w:space="0" w:color="auto"/>
            <w:left w:val="none" w:sz="0" w:space="0" w:color="auto"/>
            <w:bottom w:val="none" w:sz="0" w:space="0" w:color="auto"/>
            <w:right w:val="none" w:sz="0" w:space="0" w:color="auto"/>
          </w:divBdr>
        </w:div>
        <w:div w:id="1345090384">
          <w:marLeft w:val="0"/>
          <w:marRight w:val="0"/>
          <w:marTop w:val="0"/>
          <w:marBottom w:val="0"/>
          <w:divBdr>
            <w:top w:val="none" w:sz="0" w:space="0" w:color="auto"/>
            <w:left w:val="none" w:sz="0" w:space="0" w:color="auto"/>
            <w:bottom w:val="none" w:sz="0" w:space="0" w:color="auto"/>
            <w:right w:val="none" w:sz="0" w:space="0" w:color="auto"/>
          </w:divBdr>
        </w:div>
        <w:div w:id="1821535997">
          <w:marLeft w:val="0"/>
          <w:marRight w:val="0"/>
          <w:marTop w:val="0"/>
          <w:marBottom w:val="0"/>
          <w:divBdr>
            <w:top w:val="none" w:sz="0" w:space="0" w:color="auto"/>
            <w:left w:val="none" w:sz="0" w:space="0" w:color="auto"/>
            <w:bottom w:val="none" w:sz="0" w:space="0" w:color="auto"/>
            <w:right w:val="none" w:sz="0" w:space="0" w:color="auto"/>
          </w:divBdr>
        </w:div>
        <w:div w:id="375353860">
          <w:marLeft w:val="0"/>
          <w:marRight w:val="0"/>
          <w:marTop w:val="0"/>
          <w:marBottom w:val="0"/>
          <w:divBdr>
            <w:top w:val="none" w:sz="0" w:space="0" w:color="auto"/>
            <w:left w:val="none" w:sz="0" w:space="0" w:color="auto"/>
            <w:bottom w:val="none" w:sz="0" w:space="0" w:color="auto"/>
            <w:right w:val="none" w:sz="0" w:space="0" w:color="auto"/>
          </w:divBdr>
        </w:div>
        <w:div w:id="527108681">
          <w:marLeft w:val="0"/>
          <w:marRight w:val="0"/>
          <w:marTop w:val="0"/>
          <w:marBottom w:val="0"/>
          <w:divBdr>
            <w:top w:val="none" w:sz="0" w:space="0" w:color="auto"/>
            <w:left w:val="none" w:sz="0" w:space="0" w:color="auto"/>
            <w:bottom w:val="none" w:sz="0" w:space="0" w:color="auto"/>
            <w:right w:val="none" w:sz="0" w:space="0" w:color="auto"/>
          </w:divBdr>
        </w:div>
        <w:div w:id="29125084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https://www.aclu.org/legislative-attacks-on-lgbtq-rights-2024" TargetMode="External"/><Relationship Id="rId1" Type="http://schemas.openxmlformats.org/officeDocument/2006/relationships/hyperlink" Target="https://www.guttmacher.org/2024/12/state-policy-trends-2024-anti-abortion-policymakers-redouble-attacks-bodily-autonomy?gad_source=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165</TotalTime>
  <Pages>6</Pages>
  <Words>1635</Words>
  <Characters>9325</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 Zaccagnino</dc:creator>
  <cp:keywords/>
  <dc:description/>
  <cp:lastModifiedBy>Jess Zaccagnino</cp:lastModifiedBy>
  <cp:revision>7</cp:revision>
  <dcterms:created xsi:type="dcterms:W3CDTF">2025-02-03T19:54:00Z</dcterms:created>
  <dcterms:modified xsi:type="dcterms:W3CDTF">2025-02-07T15:31:00Z</dcterms:modified>
</cp:coreProperties>
</file>