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81EFF" w14:textId="77777777" w:rsidR="00B75D0E" w:rsidRPr="00CE26AF" w:rsidRDefault="00B75D0E" w:rsidP="00B75D0E">
      <w:pPr>
        <w:jc w:val="right"/>
        <w:rPr>
          <w:rFonts w:ascii="Century Schoolbook" w:eastAsia="Times New Roman" w:hAnsi="Century Schoolbook" w:cs="Times New Roman"/>
          <w:color w:val="000000"/>
        </w:rPr>
      </w:pPr>
      <w:r w:rsidRPr="00CE26AF">
        <w:rPr>
          <w:rFonts w:ascii="Century Schoolbook" w:eastAsia="Times New Roman" w:hAnsi="Century Schoolbook" w:cs="Times New Roman"/>
          <w:noProof/>
          <w:color w:val="000000"/>
        </w:rPr>
        <w:drawing>
          <wp:anchor distT="0" distB="0" distL="114300" distR="114300" simplePos="0" relativeHeight="251659264" behindDoc="0" locked="0" layoutInCell="1" allowOverlap="1" wp14:anchorId="0EAC8D54" wp14:editId="0CB677E8">
            <wp:simplePos x="0" y="0"/>
            <wp:positionH relativeFrom="column">
              <wp:posOffset>-232347</wp:posOffset>
            </wp:positionH>
            <wp:positionV relativeFrom="paragraph">
              <wp:posOffset>-121292</wp:posOffset>
            </wp:positionV>
            <wp:extent cx="1818640" cy="1085215"/>
            <wp:effectExtent l="0" t="0" r="0" b="0"/>
            <wp:wrapNone/>
            <wp:docPr id="3" name="Picture 3" descr="https://lh3.googleusercontent.com/HWzpA2IvXaYmfLYYnXToFH34N22hhcmQCrrHdc8FmQ8gcg5alkMPqZ8QA6Mg2VAwyOwuNytS08AmOfm4hpSyC_x7as9TinrjFPdgBw35wXwMKx2ssDqAHGTiBORpOI2WjuiS5XeUubSLOvOz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HWzpA2IvXaYmfLYYnXToFH34N22hhcmQCrrHdc8FmQ8gcg5alkMPqZ8QA6Mg2VAwyOwuNytS08AmOfm4hpSyC_x7as9TinrjFPdgBw35wXwMKx2ssDqAHGTiBORpOI2WjuiS5XeUubSLOvOzmg"/>
                    <pic:cNvPicPr>
                      <a:picLocks noChangeAspect="1" noChangeArrowheads="1"/>
                    </pic:cNvPicPr>
                  </pic:nvPicPr>
                  <pic:blipFill rotWithShape="1">
                    <a:blip r:embed="rId6">
                      <a:extLst>
                        <a:ext uri="{28A0092B-C50C-407E-A947-70E740481C1C}">
                          <a14:useLocalDpi xmlns:a14="http://schemas.microsoft.com/office/drawing/2010/main" val="0"/>
                        </a:ext>
                      </a:extLst>
                    </a:blip>
                    <a:srcRect b="32074"/>
                    <a:stretch/>
                  </pic:blipFill>
                  <pic:spPr bwMode="auto">
                    <a:xfrm>
                      <a:off x="0" y="0"/>
                      <a:ext cx="1818640" cy="1085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E26AF">
        <w:rPr>
          <w:rFonts w:ascii="Century Schoolbook" w:eastAsia="Times New Roman" w:hAnsi="Century Schoolbook" w:cs="Times New Roman"/>
          <w:color w:val="000000"/>
        </w:rPr>
        <w:t>Legislative Testimony</w:t>
      </w:r>
    </w:p>
    <w:p w14:paraId="2C8A053D" w14:textId="77777777" w:rsidR="00B75D0E" w:rsidRDefault="00B75D0E" w:rsidP="00B75D0E">
      <w:pPr>
        <w:jc w:val="right"/>
        <w:rPr>
          <w:rStyle w:val="Hyperlink"/>
          <w:rFonts w:ascii="Century Schoolbook" w:eastAsia="Times New Roman" w:hAnsi="Century Schoolbook" w:cs="Times New Roman"/>
          <w:color w:val="auto"/>
          <w:u w:val="none"/>
        </w:rPr>
      </w:pPr>
      <w:r w:rsidRPr="00CE26AF">
        <w:rPr>
          <w:rFonts w:ascii="Century Schoolbook" w:eastAsia="Times New Roman" w:hAnsi="Century Schoolbook" w:cs="Times New Roman"/>
          <w:color w:val="000000"/>
        </w:rPr>
        <w:t xml:space="preserve">765 Asylum Avenue, </w:t>
      </w:r>
      <w:r>
        <w:rPr>
          <w:rFonts w:ascii="Century Schoolbook" w:eastAsia="Times New Roman" w:hAnsi="Century Schoolbook" w:cs="Times New Roman"/>
          <w:color w:val="000000"/>
        </w:rPr>
        <w:t>2nd</w:t>
      </w:r>
      <w:r w:rsidRPr="00CE26AF">
        <w:rPr>
          <w:rFonts w:ascii="Century Schoolbook" w:eastAsia="Times New Roman" w:hAnsi="Century Schoolbook" w:cs="Times New Roman"/>
          <w:color w:val="000000"/>
        </w:rPr>
        <w:t xml:space="preserve"> Floor</w:t>
      </w:r>
      <w:r w:rsidRPr="00CE26AF">
        <w:rPr>
          <w:rFonts w:ascii="Century Schoolbook" w:eastAsia="Times New Roman" w:hAnsi="Century Schoolbook" w:cs="Times New Roman"/>
          <w:color w:val="000000"/>
        </w:rPr>
        <w:br/>
        <w:t>Hartford, CT 06105</w:t>
      </w:r>
      <w:r w:rsidRPr="00CE26AF">
        <w:rPr>
          <w:rFonts w:ascii="Century Schoolbook" w:eastAsia="Times New Roman" w:hAnsi="Century Schoolbook" w:cs="Times New Roman"/>
          <w:color w:val="000000"/>
        </w:rPr>
        <w:br/>
        <w:t>860-523-9146</w:t>
      </w:r>
      <w:r w:rsidRPr="00CE26AF">
        <w:rPr>
          <w:rFonts w:ascii="Century Schoolbook" w:eastAsia="Times New Roman" w:hAnsi="Century Schoolbook" w:cs="Times New Roman"/>
          <w:color w:val="000000"/>
        </w:rPr>
        <w:br/>
      </w:r>
      <w:r w:rsidRPr="00CE26AF">
        <w:rPr>
          <w:rStyle w:val="Hyperlink"/>
          <w:rFonts w:ascii="Century Schoolbook" w:eastAsia="Times New Roman" w:hAnsi="Century Schoolbook" w:cs="Times New Roman"/>
          <w:color w:val="auto"/>
          <w:u w:val="none"/>
        </w:rPr>
        <w:t>www.acluct.org</w:t>
      </w:r>
    </w:p>
    <w:p w14:paraId="45F7BE84" w14:textId="77777777" w:rsidR="00B75D0E" w:rsidRDefault="00B75D0E" w:rsidP="00B75D0E">
      <w:pPr>
        <w:jc w:val="center"/>
        <w:rPr>
          <w:rFonts w:ascii="Century Schoolbook" w:eastAsia="Times New Roman" w:hAnsi="Century Schoolbook" w:cs="Times New Roman"/>
          <w:b/>
        </w:rPr>
      </w:pPr>
    </w:p>
    <w:p w14:paraId="4C54A120" w14:textId="44AAEEEF" w:rsidR="00B75D0E" w:rsidRDefault="00B75D0E" w:rsidP="00B75D0E">
      <w:pPr>
        <w:jc w:val="center"/>
        <w:rPr>
          <w:rFonts w:ascii="Century Schoolbook" w:eastAsia="Times New Roman" w:hAnsi="Century Schoolbook" w:cs="Times New Roman"/>
          <w:b/>
        </w:rPr>
      </w:pPr>
      <w:r>
        <w:rPr>
          <w:rFonts w:ascii="Century Schoolbook" w:eastAsia="Times New Roman" w:hAnsi="Century Schoolbook" w:cs="Times New Roman"/>
          <w:b/>
        </w:rPr>
        <w:t xml:space="preserve">Written Testimony </w:t>
      </w:r>
      <w:r w:rsidR="004C19E6">
        <w:rPr>
          <w:rFonts w:ascii="Century Schoolbook" w:eastAsia="Times New Roman" w:hAnsi="Century Schoolbook" w:cs="Times New Roman"/>
          <w:b/>
        </w:rPr>
        <w:t>Supporting House Bill 5127, An Act Requiring a Needs Assessment for the Delivery of Postsecondary Education Programs in Prisons</w:t>
      </w:r>
    </w:p>
    <w:p w14:paraId="65B613ED" w14:textId="77777777" w:rsidR="00B75D0E" w:rsidRDefault="00B75D0E" w:rsidP="00B75D0E">
      <w:pPr>
        <w:rPr>
          <w:rFonts w:ascii="Century Schoolbook" w:eastAsia="Times New Roman" w:hAnsi="Century Schoolbook" w:cs="Times New Roman"/>
          <w:b/>
        </w:rPr>
      </w:pPr>
    </w:p>
    <w:p w14:paraId="152759FF" w14:textId="77777777" w:rsidR="00B75D0E" w:rsidRDefault="00B75D0E" w:rsidP="004C19E6">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Senator </w:t>
      </w:r>
      <w:r w:rsidR="001D7455">
        <w:rPr>
          <w:rFonts w:ascii="Century Schoolbook" w:eastAsia="Times New Roman" w:hAnsi="Century Schoolbook" w:cs="Times New Roman"/>
        </w:rPr>
        <w:t>Slap</w:t>
      </w:r>
      <w:r>
        <w:rPr>
          <w:rFonts w:ascii="Century Schoolbook" w:eastAsia="Times New Roman" w:hAnsi="Century Schoolbook" w:cs="Times New Roman"/>
        </w:rPr>
        <w:t xml:space="preserve">, Representative </w:t>
      </w:r>
      <w:r w:rsidR="001D7455">
        <w:rPr>
          <w:rFonts w:ascii="Century Schoolbook" w:eastAsia="Times New Roman" w:hAnsi="Century Schoolbook" w:cs="Times New Roman"/>
        </w:rPr>
        <w:t>Haddad</w:t>
      </w:r>
      <w:r w:rsidR="00025786">
        <w:rPr>
          <w:rFonts w:ascii="Century Schoolbook" w:eastAsia="Times New Roman" w:hAnsi="Century Schoolbook" w:cs="Times New Roman"/>
        </w:rPr>
        <w:t>,</w:t>
      </w:r>
      <w:r>
        <w:rPr>
          <w:rFonts w:ascii="Century Schoolbook" w:eastAsia="Times New Roman" w:hAnsi="Century Schoolbook" w:cs="Times New Roman"/>
        </w:rPr>
        <w:t xml:space="preserve"> Ranking Members </w:t>
      </w:r>
      <w:r w:rsidR="001D7455">
        <w:rPr>
          <w:rFonts w:ascii="Century Schoolbook" w:eastAsia="Times New Roman" w:hAnsi="Century Schoolbook" w:cs="Times New Roman"/>
        </w:rPr>
        <w:t>Kelly</w:t>
      </w:r>
      <w:r w:rsidR="00C179BF">
        <w:rPr>
          <w:rFonts w:ascii="Century Schoolbook" w:eastAsia="Times New Roman" w:hAnsi="Century Schoolbook" w:cs="Times New Roman"/>
        </w:rPr>
        <w:t xml:space="preserve"> and </w:t>
      </w:r>
      <w:r w:rsidR="001D7455">
        <w:rPr>
          <w:rFonts w:ascii="Century Schoolbook" w:eastAsia="Times New Roman" w:hAnsi="Century Schoolbook" w:cs="Times New Roman"/>
        </w:rPr>
        <w:t>Haines</w:t>
      </w:r>
      <w:r>
        <w:rPr>
          <w:rFonts w:ascii="Century Schoolbook" w:eastAsia="Times New Roman" w:hAnsi="Century Schoolbook" w:cs="Times New Roman"/>
        </w:rPr>
        <w:t xml:space="preserve">, and members of the </w:t>
      </w:r>
      <w:r w:rsidR="001D7455">
        <w:rPr>
          <w:rFonts w:ascii="Century Schoolbook" w:eastAsia="Times New Roman" w:hAnsi="Century Schoolbook" w:cs="Times New Roman"/>
        </w:rPr>
        <w:t>Higher Education</w:t>
      </w:r>
      <w:r>
        <w:rPr>
          <w:rFonts w:ascii="Century Schoolbook" w:eastAsia="Times New Roman" w:hAnsi="Century Schoolbook" w:cs="Times New Roman"/>
        </w:rPr>
        <w:t xml:space="preserve"> Committee:</w:t>
      </w:r>
    </w:p>
    <w:p w14:paraId="21B43885" w14:textId="77777777" w:rsidR="00B75D0E" w:rsidRDefault="00B75D0E" w:rsidP="00B75D0E">
      <w:pPr>
        <w:spacing w:line="360" w:lineRule="auto"/>
        <w:rPr>
          <w:rFonts w:ascii="Century Schoolbook" w:eastAsia="Times New Roman" w:hAnsi="Century Schoolbook" w:cs="Times New Roman"/>
        </w:rPr>
      </w:pPr>
    </w:p>
    <w:p w14:paraId="19E91897" w14:textId="13D6F993" w:rsidR="00B75D0E" w:rsidRDefault="00B75D0E" w:rsidP="004C19E6">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My name is </w:t>
      </w:r>
      <w:r w:rsidRPr="008740F8">
        <w:rPr>
          <w:rFonts w:ascii="Century Schoolbook" w:eastAsia="Times New Roman" w:hAnsi="Century Schoolbook" w:cs="Times New Roman"/>
        </w:rPr>
        <w:t>Jess Zaccagnino</w:t>
      </w:r>
      <w:r>
        <w:rPr>
          <w:rFonts w:ascii="Century Schoolbook" w:eastAsia="Times New Roman" w:hAnsi="Century Schoolbook" w:cs="Times New Roman"/>
        </w:rPr>
        <w:t>, and I am the policy counsel of the American Civil Liberties Union of Connecticut (ACLU-CT). I am writing to testify</w:t>
      </w:r>
      <w:r w:rsidR="004C19E6">
        <w:rPr>
          <w:rFonts w:ascii="Century Schoolbook" w:eastAsia="Times New Roman" w:hAnsi="Century Schoolbook" w:cs="Times New Roman"/>
        </w:rPr>
        <w:t xml:space="preserve"> in support of </w:t>
      </w:r>
      <w:r w:rsidR="004C19E6" w:rsidRPr="004C19E6">
        <w:rPr>
          <w:rFonts w:ascii="Century Schoolbook" w:eastAsia="Times New Roman" w:hAnsi="Century Schoolbook" w:cs="Times New Roman"/>
        </w:rPr>
        <w:t>House Bill 5127, An Act Requiring a Needs Assessment for the Delivery of Postsecondary Education Programs in Prisons</w:t>
      </w:r>
      <w:r w:rsidR="004C19E6" w:rsidRPr="004C19E6">
        <w:rPr>
          <w:rFonts w:ascii="Century Schoolbook" w:eastAsia="Times New Roman" w:hAnsi="Century Schoolbook" w:cs="Times New Roman"/>
        </w:rPr>
        <w:t>.</w:t>
      </w:r>
    </w:p>
    <w:p w14:paraId="393140D0" w14:textId="31903F2F" w:rsidR="004C19E6" w:rsidRDefault="004C19E6" w:rsidP="004C19E6">
      <w:pPr>
        <w:spacing w:line="360" w:lineRule="auto"/>
        <w:jc w:val="both"/>
        <w:rPr>
          <w:rFonts w:ascii="Century Schoolbook" w:eastAsia="Times New Roman" w:hAnsi="Century Schoolbook" w:cs="Times New Roman"/>
        </w:rPr>
      </w:pPr>
    </w:p>
    <w:p w14:paraId="05D4BCD4" w14:textId="3D854357" w:rsidR="004C19E6" w:rsidRDefault="004C19E6" w:rsidP="004C19E6">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The ACLU-CT believes that making education available for all people in prison is essential. </w:t>
      </w:r>
      <w:r w:rsidR="00431B2F" w:rsidRPr="00CA096A">
        <w:rPr>
          <w:rFonts w:ascii="Century Schoolbook" w:hAnsi="Century Schoolbook"/>
        </w:rPr>
        <w:t>Every person living with a criminal record</w:t>
      </w:r>
      <w:r w:rsidR="00431B2F">
        <w:rPr>
          <w:rFonts w:ascii="Century Schoolbook" w:hAnsi="Century Schoolbook"/>
        </w:rPr>
        <w:t>,</w:t>
      </w:r>
      <w:r w:rsidR="00431B2F" w:rsidRPr="00CA096A">
        <w:rPr>
          <w:rFonts w:ascii="Century Schoolbook" w:hAnsi="Century Schoolbook"/>
        </w:rPr>
        <w:t xml:space="preserve"> should have an equal opportunity to build a successful and fulfilling life.</w:t>
      </w:r>
      <w:r w:rsidR="00431B2F">
        <w:rPr>
          <w:rFonts w:ascii="Century Schoolbook" w:hAnsi="Century Schoolbook"/>
        </w:rPr>
        <w:t xml:space="preserve"> Increasing access to education within prisons is a promising strategy in helping people find work after their release and breaking the cycle of incarceration.</w:t>
      </w:r>
    </w:p>
    <w:p w14:paraId="47DA5B57" w14:textId="77777777" w:rsidR="004C19E6" w:rsidRDefault="004C19E6" w:rsidP="004C19E6">
      <w:pPr>
        <w:spacing w:line="360" w:lineRule="auto"/>
        <w:jc w:val="both"/>
        <w:rPr>
          <w:rFonts w:ascii="Century Schoolbook" w:eastAsia="Times New Roman" w:hAnsi="Century Schoolbook" w:cs="Times New Roman"/>
        </w:rPr>
      </w:pPr>
    </w:p>
    <w:p w14:paraId="3D0B73E7" w14:textId="502A992A" w:rsidR="00E24333" w:rsidRDefault="00E24333" w:rsidP="004C19E6">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We know that when people participate in any kind of educational program within a prison, their chances of recidivism drop</w:t>
      </w:r>
      <w:r>
        <w:rPr>
          <w:rFonts w:ascii="Century Schoolbook" w:eastAsia="Times New Roman" w:hAnsi="Century Schoolbook" w:cs="Times New Roman"/>
        </w:rPr>
        <w:t xml:space="preserve">. </w:t>
      </w:r>
      <w:r w:rsidRPr="00CA096A">
        <w:rPr>
          <w:rFonts w:ascii="Century Schoolbook" w:hAnsi="Century Schoolbook" w:cs="Times New Roman"/>
        </w:rPr>
        <w:t>The evidence shows that when people who are living with a criminal record are given a fair chance to earn a</w:t>
      </w:r>
      <w:r>
        <w:rPr>
          <w:rFonts w:ascii="Century Schoolbook" w:hAnsi="Century Schoolbook" w:cs="Times New Roman"/>
        </w:rPr>
        <w:t>n education or</w:t>
      </w:r>
      <w:r w:rsidRPr="00CA096A">
        <w:rPr>
          <w:rFonts w:ascii="Century Schoolbook" w:hAnsi="Century Schoolbook" w:cs="Times New Roman"/>
        </w:rPr>
        <w:t xml:space="preserve"> job, find housing, get insurance, and reintegrate into society, we all succeed. Education is correlated to</w:t>
      </w:r>
      <w:r>
        <w:rPr>
          <w:rFonts w:ascii="Century Schoolbook" w:hAnsi="Century Schoolbook" w:cs="Times New Roman"/>
        </w:rPr>
        <w:t xml:space="preserve"> a</w:t>
      </w:r>
      <w:r w:rsidRPr="00CA096A">
        <w:rPr>
          <w:rFonts w:ascii="Century Schoolbook" w:hAnsi="Century Schoolbook" w:cs="Times New Roman"/>
        </w:rPr>
        <w:t xml:space="preserve"> 43</w:t>
      </w:r>
      <w:r>
        <w:rPr>
          <w:rFonts w:ascii="Century Schoolbook" w:hAnsi="Century Schoolbook" w:cs="Times New Roman"/>
        </w:rPr>
        <w:t xml:space="preserve"> percent</w:t>
      </w:r>
      <w:r w:rsidRPr="00CA096A">
        <w:rPr>
          <w:rFonts w:ascii="Century Schoolbook" w:hAnsi="Century Schoolbook" w:cs="Times New Roman"/>
        </w:rPr>
        <w:t xml:space="preserve"> reduction in recidivism rates.</w:t>
      </w:r>
      <w:r w:rsidRPr="00CA096A">
        <w:rPr>
          <w:rStyle w:val="FootnoteReference"/>
          <w:rFonts w:ascii="Century Schoolbook" w:hAnsi="Century Schoolbook" w:cs="Times New Roman"/>
        </w:rPr>
        <w:footnoteReference w:id="1"/>
      </w:r>
      <w:r w:rsidRPr="00CA096A">
        <w:rPr>
          <w:rFonts w:ascii="Century Schoolbook" w:hAnsi="Century Schoolbook" w:cs="Times New Roman"/>
        </w:rPr>
        <w:t xml:space="preserve"> At the same time, people leaving incarceration have lower levels of education than people without records,</w:t>
      </w:r>
      <w:r w:rsidRPr="00CA096A">
        <w:rPr>
          <w:rStyle w:val="FootnoteReference"/>
          <w:rFonts w:ascii="Century Schoolbook" w:hAnsi="Century Schoolbook" w:cs="Times New Roman"/>
        </w:rPr>
        <w:footnoteReference w:id="2"/>
      </w:r>
      <w:r w:rsidRPr="00CA096A">
        <w:rPr>
          <w:rFonts w:ascii="Century Schoolbook" w:hAnsi="Century Schoolbook" w:cs="Times New Roman"/>
        </w:rPr>
        <w:t xml:space="preserve"> a </w:t>
      </w:r>
      <w:r w:rsidRPr="00CA096A">
        <w:rPr>
          <w:rFonts w:ascii="Century Schoolbook" w:hAnsi="Century Schoolbook" w:cs="Times New Roman"/>
        </w:rPr>
        <w:lastRenderedPageBreak/>
        <w:t>huge competitive disadvantage in the employment market.</w:t>
      </w:r>
      <w:r w:rsidRPr="00CA096A">
        <w:rPr>
          <w:rStyle w:val="FootnoteReference"/>
          <w:rFonts w:ascii="Century Schoolbook" w:hAnsi="Century Schoolbook" w:cs="Times New Roman"/>
        </w:rPr>
        <w:footnoteReference w:id="3"/>
      </w:r>
      <w:r>
        <w:rPr>
          <w:rFonts w:ascii="Century Schoolbook" w:eastAsia="Times New Roman" w:hAnsi="Century Schoolbook" w:cs="Times New Roman"/>
        </w:rPr>
        <w:t xml:space="preserve"> Investments in post-secondary education in prisons is also an investment: the RAND Corporation found that for every dollar invested in education in prisons, taxpayers will save between $4 and $5 in reincarceration costs.</w:t>
      </w:r>
      <w:r>
        <w:rPr>
          <w:rStyle w:val="FootnoteReference"/>
          <w:rFonts w:ascii="Century Schoolbook" w:eastAsia="Times New Roman" w:hAnsi="Century Schoolbook" w:cs="Times New Roman"/>
        </w:rPr>
        <w:footnoteReference w:id="4"/>
      </w:r>
      <w:r>
        <w:rPr>
          <w:rFonts w:ascii="Century Schoolbook" w:eastAsia="Times New Roman" w:hAnsi="Century Schoolbook" w:cs="Times New Roman"/>
        </w:rPr>
        <w:t xml:space="preserve"> </w:t>
      </w:r>
    </w:p>
    <w:p w14:paraId="772DA625" w14:textId="2D4BD36D" w:rsidR="00431B2F" w:rsidRDefault="00431B2F" w:rsidP="004C19E6">
      <w:pPr>
        <w:spacing w:line="360" w:lineRule="auto"/>
        <w:jc w:val="both"/>
        <w:rPr>
          <w:rFonts w:ascii="Century Schoolbook" w:eastAsia="Times New Roman" w:hAnsi="Century Schoolbook" w:cs="Times New Roman"/>
        </w:rPr>
      </w:pPr>
    </w:p>
    <w:p w14:paraId="3C512BCB" w14:textId="2FE3733D" w:rsidR="00452DFC" w:rsidRDefault="00431B2F" w:rsidP="00452DFC">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The Urban Institute conducted a large survey of post-secondary education in prisons and found its benefits to be numerous. Focus groups found that people had a variety of reasons for pursuing education within prison, such as the desire to own and operate their own businesses and the ability to be hired for a better job in which they could invest in their futures.</w:t>
      </w:r>
      <w:r>
        <w:rPr>
          <w:rStyle w:val="FootnoteReference"/>
          <w:rFonts w:ascii="Century Schoolbook" w:eastAsia="Times New Roman" w:hAnsi="Century Schoolbook" w:cs="Times New Roman"/>
        </w:rPr>
        <w:footnoteReference w:id="5"/>
      </w:r>
      <w:r>
        <w:rPr>
          <w:rFonts w:ascii="Century Schoolbook" w:eastAsia="Times New Roman" w:hAnsi="Century Schoolbook" w:cs="Times New Roman"/>
        </w:rPr>
        <w:t xml:space="preserve"> Participants also reported that post-secondary education “positively affected their self-esteem. Among the most common examples offered were: ‘learning that they could complete something,’ ‘learning that they are more intelligent than they had previously believed,’ and ‘having a renewed sense of confidence.’”</w:t>
      </w:r>
      <w:r>
        <w:rPr>
          <w:rStyle w:val="FootnoteReference"/>
          <w:rFonts w:ascii="Century Schoolbook" w:eastAsia="Times New Roman" w:hAnsi="Century Schoolbook" w:cs="Times New Roman"/>
        </w:rPr>
        <w:footnoteReference w:id="6"/>
      </w:r>
      <w:r>
        <w:rPr>
          <w:rFonts w:ascii="Century Schoolbook" w:eastAsia="Times New Roman" w:hAnsi="Century Schoolbook" w:cs="Times New Roman"/>
        </w:rPr>
        <w:t xml:space="preserve"> Participants at every study site also noted that participation in post-secondary education programs motivated them to avoid prison conflicts</w:t>
      </w:r>
      <w:r w:rsidR="00452DFC">
        <w:rPr>
          <w:rFonts w:ascii="Century Schoolbook" w:eastAsia="Times New Roman" w:hAnsi="Century Schoolbook" w:cs="Times New Roman"/>
        </w:rPr>
        <w:t>, in turn creating a safer prison environment.</w:t>
      </w:r>
      <w:r w:rsidR="00452DFC">
        <w:rPr>
          <w:rStyle w:val="FootnoteReference"/>
          <w:rFonts w:ascii="Century Schoolbook" w:eastAsia="Times New Roman" w:hAnsi="Century Schoolbook" w:cs="Times New Roman"/>
        </w:rPr>
        <w:footnoteReference w:id="7"/>
      </w:r>
    </w:p>
    <w:p w14:paraId="43C8B843" w14:textId="0651B8A9" w:rsidR="00452DFC" w:rsidRDefault="00452DFC" w:rsidP="00452DFC">
      <w:pPr>
        <w:spacing w:line="360" w:lineRule="auto"/>
        <w:jc w:val="both"/>
        <w:rPr>
          <w:rFonts w:ascii="Century Schoolbook" w:eastAsia="Times New Roman" w:hAnsi="Century Schoolbook" w:cs="Times New Roman"/>
        </w:rPr>
      </w:pPr>
    </w:p>
    <w:p w14:paraId="0825E877" w14:textId="612341C4" w:rsidR="00452DFC" w:rsidRDefault="00452DFC" w:rsidP="00452DFC">
      <w:pPr>
        <w:spacing w:line="360" w:lineRule="auto"/>
        <w:jc w:val="both"/>
        <w:rPr>
          <w:rFonts w:ascii="Century Schoolbook" w:eastAsia="Times New Roman" w:hAnsi="Century Schoolbook" w:cs="Times New Roman"/>
        </w:rPr>
      </w:pPr>
      <w:r>
        <w:rPr>
          <w:rFonts w:ascii="Century Schoolbook" w:eastAsia="Times New Roman" w:hAnsi="Century Schoolbook" w:cs="Times New Roman"/>
        </w:rPr>
        <w:t xml:space="preserve">Expanding access to post-secondary education in Connecticut’s prisons is vital to ending mass incarceration. House Bill 5127 is a small first step towards this goal. Requiring the Department of Correction to conduct a needs assessment will allow the legislature to better address education access in prisons in future legislation. In conducting this needs assessment, the Department of Corrections must center the voices of people directly impacted by Connecticut’s carceral system. </w:t>
      </w:r>
    </w:p>
    <w:p w14:paraId="209ED705" w14:textId="08AB93FE" w:rsidR="00452DFC" w:rsidRDefault="00452DFC" w:rsidP="00452DFC">
      <w:pPr>
        <w:spacing w:line="360" w:lineRule="auto"/>
        <w:jc w:val="both"/>
        <w:rPr>
          <w:rFonts w:ascii="Century Schoolbook" w:eastAsia="Times New Roman" w:hAnsi="Century Schoolbook" w:cs="Times New Roman"/>
        </w:rPr>
      </w:pPr>
    </w:p>
    <w:p w14:paraId="2A711474" w14:textId="45E74E2B" w:rsidR="00452DFC" w:rsidRDefault="00452DFC" w:rsidP="00452DFC">
      <w:pPr>
        <w:spacing w:line="360" w:lineRule="auto"/>
        <w:jc w:val="both"/>
      </w:pPr>
      <w:r w:rsidRPr="00CA096A">
        <w:rPr>
          <w:rFonts w:ascii="Century Schoolbook" w:hAnsi="Century Schoolbook"/>
        </w:rPr>
        <w:t>All people in Connec</w:t>
      </w:r>
      <w:bookmarkStart w:id="0" w:name="_GoBack"/>
      <w:bookmarkEnd w:id="0"/>
      <w:r w:rsidRPr="00CA096A">
        <w:rPr>
          <w:rFonts w:ascii="Century Schoolbook" w:hAnsi="Century Schoolbook"/>
        </w:rPr>
        <w:t xml:space="preserve">ticut have paid the price of mass incarceration, yet we cannot afford the cost. Let’s work to build stronger individuals and stronger communities by </w:t>
      </w:r>
      <w:r w:rsidRPr="00CA096A">
        <w:rPr>
          <w:rFonts w:ascii="Century Schoolbook" w:hAnsi="Century Schoolbook"/>
        </w:rPr>
        <w:lastRenderedPageBreak/>
        <w:t xml:space="preserve">eliminating barriers to </w:t>
      </w:r>
      <w:r w:rsidR="006B63C7">
        <w:rPr>
          <w:rFonts w:ascii="Century Schoolbook" w:hAnsi="Century Schoolbook"/>
        </w:rPr>
        <w:t>post-secondary education for people incarcerated in Connecticut’s prisons</w:t>
      </w:r>
      <w:r w:rsidRPr="00CA096A">
        <w:rPr>
          <w:rFonts w:ascii="Century Schoolbook" w:hAnsi="Century Schoolbook"/>
        </w:rPr>
        <w:t>. The ACLU-CT strongly urges pass</w:t>
      </w:r>
      <w:r>
        <w:rPr>
          <w:rFonts w:ascii="Century Schoolbook" w:hAnsi="Century Schoolbook"/>
        </w:rPr>
        <w:t>age</w:t>
      </w:r>
      <w:r w:rsidRPr="00CA096A">
        <w:rPr>
          <w:rFonts w:ascii="Century Schoolbook" w:hAnsi="Century Schoolbook"/>
        </w:rPr>
        <w:t xml:space="preserve"> </w:t>
      </w:r>
      <w:r w:rsidR="006B63C7">
        <w:rPr>
          <w:rFonts w:ascii="Century Schoolbook" w:hAnsi="Century Schoolbook"/>
        </w:rPr>
        <w:t>House Bill 5127</w:t>
      </w:r>
      <w:r w:rsidRPr="00CA096A">
        <w:rPr>
          <w:rFonts w:ascii="Century Schoolbook" w:hAnsi="Century Schoolbook"/>
        </w:rPr>
        <w:t>, a critical bill to create a more just and equitable Connecticut.</w:t>
      </w:r>
    </w:p>
    <w:p w14:paraId="39591B17" w14:textId="77777777" w:rsidR="00452DFC" w:rsidRPr="00452DFC" w:rsidRDefault="00452DFC" w:rsidP="00452DFC">
      <w:pPr>
        <w:spacing w:line="360" w:lineRule="auto"/>
        <w:jc w:val="both"/>
        <w:rPr>
          <w:rFonts w:ascii="Century Schoolbook" w:eastAsia="Times New Roman" w:hAnsi="Century Schoolbook" w:cs="Times New Roman"/>
        </w:rPr>
      </w:pPr>
    </w:p>
    <w:sectPr w:rsidR="00452DFC" w:rsidRPr="00452DFC" w:rsidSect="0038476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460F9" w14:textId="77777777" w:rsidR="00184D80" w:rsidRDefault="00184D80" w:rsidP="00E24333">
      <w:r>
        <w:separator/>
      </w:r>
    </w:p>
  </w:endnote>
  <w:endnote w:type="continuationSeparator" w:id="0">
    <w:p w14:paraId="6ADB74E5" w14:textId="77777777" w:rsidR="00184D80" w:rsidRDefault="00184D80" w:rsidP="00E2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1889739"/>
      <w:docPartObj>
        <w:docPartGallery w:val="Page Numbers (Bottom of Page)"/>
        <w:docPartUnique/>
      </w:docPartObj>
    </w:sdtPr>
    <w:sdtContent>
      <w:p w14:paraId="1C8519FA" w14:textId="3CFBFE5C" w:rsidR="006B63C7" w:rsidRDefault="006B63C7" w:rsidP="005600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D146B" w14:textId="77777777" w:rsidR="006B63C7" w:rsidRDefault="006B63C7" w:rsidP="006B63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Century Schoolbook" w:hAnsi="Century Schoolbook"/>
      </w:rPr>
      <w:id w:val="1612863621"/>
      <w:docPartObj>
        <w:docPartGallery w:val="Page Numbers (Bottom of Page)"/>
        <w:docPartUnique/>
      </w:docPartObj>
    </w:sdtPr>
    <w:sdtContent>
      <w:p w14:paraId="34DE0595" w14:textId="32FEA47F" w:rsidR="006B63C7" w:rsidRPr="006B63C7" w:rsidRDefault="006B63C7" w:rsidP="0056002B">
        <w:pPr>
          <w:pStyle w:val="Footer"/>
          <w:framePr w:wrap="none" w:vAnchor="text" w:hAnchor="margin" w:xAlign="right" w:y="1"/>
          <w:rPr>
            <w:rStyle w:val="PageNumber"/>
            <w:rFonts w:ascii="Century Schoolbook" w:hAnsi="Century Schoolbook"/>
          </w:rPr>
        </w:pPr>
        <w:r w:rsidRPr="006B63C7">
          <w:rPr>
            <w:rStyle w:val="PageNumber"/>
            <w:rFonts w:ascii="Century Schoolbook" w:hAnsi="Century Schoolbook"/>
          </w:rPr>
          <w:fldChar w:fldCharType="begin"/>
        </w:r>
        <w:r w:rsidRPr="006B63C7">
          <w:rPr>
            <w:rStyle w:val="PageNumber"/>
            <w:rFonts w:ascii="Century Schoolbook" w:hAnsi="Century Schoolbook"/>
          </w:rPr>
          <w:instrText xml:space="preserve"> PAGE </w:instrText>
        </w:r>
        <w:r w:rsidRPr="006B63C7">
          <w:rPr>
            <w:rStyle w:val="PageNumber"/>
            <w:rFonts w:ascii="Century Schoolbook" w:hAnsi="Century Schoolbook"/>
          </w:rPr>
          <w:fldChar w:fldCharType="separate"/>
        </w:r>
        <w:r w:rsidRPr="006B63C7">
          <w:rPr>
            <w:rStyle w:val="PageNumber"/>
            <w:rFonts w:ascii="Century Schoolbook" w:hAnsi="Century Schoolbook"/>
            <w:noProof/>
          </w:rPr>
          <w:t>1</w:t>
        </w:r>
        <w:r w:rsidRPr="006B63C7">
          <w:rPr>
            <w:rStyle w:val="PageNumber"/>
            <w:rFonts w:ascii="Century Schoolbook" w:hAnsi="Century Schoolbook"/>
          </w:rPr>
          <w:fldChar w:fldCharType="end"/>
        </w:r>
      </w:p>
    </w:sdtContent>
  </w:sdt>
  <w:p w14:paraId="10AF6C64" w14:textId="77777777" w:rsidR="006B63C7" w:rsidRDefault="006B63C7" w:rsidP="006B63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F5F52" w14:textId="77777777" w:rsidR="00184D80" w:rsidRDefault="00184D80" w:rsidP="00E24333">
      <w:r>
        <w:separator/>
      </w:r>
    </w:p>
  </w:footnote>
  <w:footnote w:type="continuationSeparator" w:id="0">
    <w:p w14:paraId="4BBF3C3A" w14:textId="77777777" w:rsidR="00184D80" w:rsidRDefault="00184D80" w:rsidP="00E24333">
      <w:r>
        <w:continuationSeparator/>
      </w:r>
    </w:p>
  </w:footnote>
  <w:footnote w:id="1">
    <w:p w14:paraId="7AC4258D" w14:textId="77777777" w:rsidR="00E24333" w:rsidRPr="006B63C7" w:rsidRDefault="00E24333" w:rsidP="00E24333">
      <w:pPr>
        <w:pStyle w:val="FootnoteText"/>
        <w:rPr>
          <w:rFonts w:ascii="Century Schoolbook" w:hAnsi="Century Schoolbook"/>
          <w:sz w:val="16"/>
          <w:szCs w:val="16"/>
        </w:rPr>
      </w:pPr>
      <w:r w:rsidRPr="006B63C7">
        <w:rPr>
          <w:rStyle w:val="FootnoteReference"/>
          <w:rFonts w:ascii="Century Schoolbook" w:hAnsi="Century Schoolbook"/>
          <w:sz w:val="16"/>
          <w:szCs w:val="16"/>
        </w:rPr>
        <w:footnoteRef/>
      </w:r>
      <w:r w:rsidRPr="006B63C7">
        <w:rPr>
          <w:rFonts w:ascii="Century Schoolbook" w:hAnsi="Century Schoolbook"/>
          <w:sz w:val="16"/>
          <w:szCs w:val="16"/>
        </w:rPr>
        <w:t xml:space="preserve"> Megan </w:t>
      </w:r>
      <w:proofErr w:type="spellStart"/>
      <w:r w:rsidRPr="006B63C7">
        <w:rPr>
          <w:rFonts w:ascii="Century Schoolbook" w:hAnsi="Century Schoolbook"/>
          <w:sz w:val="16"/>
          <w:szCs w:val="16"/>
        </w:rPr>
        <w:t>Quattlebaum</w:t>
      </w:r>
      <w:proofErr w:type="spellEnd"/>
      <w:r w:rsidRPr="006B63C7">
        <w:rPr>
          <w:rFonts w:ascii="Century Schoolbook" w:hAnsi="Century Schoolbook"/>
          <w:sz w:val="16"/>
          <w:szCs w:val="16"/>
        </w:rPr>
        <w:t xml:space="preserve"> &amp; Haley Glover, </w:t>
      </w:r>
      <w:r w:rsidRPr="006B63C7">
        <w:rPr>
          <w:rFonts w:ascii="Century Schoolbook" w:hAnsi="Century Schoolbook"/>
          <w:i/>
          <w:sz w:val="16"/>
          <w:szCs w:val="16"/>
        </w:rPr>
        <w:t>Rejected</w:t>
      </w:r>
      <w:r w:rsidRPr="006B63C7">
        <w:rPr>
          <w:rFonts w:ascii="Century Schoolbook" w:hAnsi="Century Schoolbook"/>
          <w:sz w:val="16"/>
          <w:szCs w:val="16"/>
        </w:rPr>
        <w:t xml:space="preserve">, </w:t>
      </w:r>
      <w:r w:rsidRPr="006B63C7">
        <w:rPr>
          <w:rFonts w:ascii="Century Schoolbook" w:hAnsi="Century Schoolbook" w:cs="Times New Roman (Body CS)"/>
          <w:smallCaps/>
          <w:sz w:val="16"/>
          <w:szCs w:val="16"/>
        </w:rPr>
        <w:t>Inside Higher Ed Views</w:t>
      </w:r>
      <w:r w:rsidRPr="006B63C7">
        <w:rPr>
          <w:rFonts w:ascii="Century Schoolbook" w:hAnsi="Century Schoolbook"/>
          <w:sz w:val="16"/>
          <w:szCs w:val="16"/>
        </w:rPr>
        <w:t xml:space="preserve"> (Mar. 18, 2020), </w:t>
      </w:r>
      <w:r w:rsidRPr="006B63C7">
        <w:rPr>
          <w:rFonts w:ascii="Century Schoolbook" w:hAnsi="Century Schoolbook"/>
          <w:i/>
          <w:iCs/>
          <w:sz w:val="16"/>
          <w:szCs w:val="16"/>
        </w:rPr>
        <w:t>available at</w:t>
      </w:r>
      <w:r w:rsidRPr="006B63C7">
        <w:rPr>
          <w:rFonts w:ascii="Century Schoolbook" w:hAnsi="Century Schoolbook"/>
          <w:iCs/>
          <w:sz w:val="16"/>
          <w:szCs w:val="16"/>
        </w:rPr>
        <w:t>:</w:t>
      </w:r>
      <w:r w:rsidRPr="006B63C7">
        <w:rPr>
          <w:rFonts w:ascii="Century Schoolbook" w:hAnsi="Century Schoolbook"/>
          <w:i/>
          <w:iCs/>
          <w:sz w:val="16"/>
          <w:szCs w:val="16"/>
        </w:rPr>
        <w:t xml:space="preserve"> </w:t>
      </w:r>
      <w:hyperlink r:id="rId1" w:history="1">
        <w:r w:rsidRPr="006B63C7">
          <w:rPr>
            <w:rStyle w:val="Hyperlink"/>
            <w:rFonts w:ascii="Century Schoolbook" w:hAnsi="Century Schoolbook"/>
            <w:sz w:val="16"/>
            <w:szCs w:val="16"/>
          </w:rPr>
          <w:t>https://www.insidehighered.com/views/2020/03/18/new-study-illuminates-why-barriers-higher-education-incarcerated-people-confront</w:t>
        </w:r>
      </w:hyperlink>
      <w:r w:rsidRPr="006B63C7">
        <w:rPr>
          <w:rFonts w:ascii="Century Schoolbook" w:hAnsi="Century Schoolbook"/>
          <w:i/>
          <w:iCs/>
          <w:sz w:val="16"/>
          <w:szCs w:val="16"/>
        </w:rPr>
        <w:t>.</w:t>
      </w:r>
    </w:p>
  </w:footnote>
  <w:footnote w:id="2">
    <w:p w14:paraId="51E18683" w14:textId="77777777" w:rsidR="00E24333" w:rsidRPr="006B63C7" w:rsidRDefault="00E24333" w:rsidP="00E24333">
      <w:pPr>
        <w:pStyle w:val="FootnoteText"/>
        <w:rPr>
          <w:rFonts w:ascii="Century Schoolbook" w:hAnsi="Century Schoolbook"/>
          <w:sz w:val="16"/>
          <w:szCs w:val="16"/>
        </w:rPr>
      </w:pPr>
      <w:r w:rsidRPr="006B63C7">
        <w:rPr>
          <w:rStyle w:val="FootnoteReference"/>
          <w:rFonts w:ascii="Century Schoolbook" w:hAnsi="Century Schoolbook"/>
          <w:sz w:val="16"/>
          <w:szCs w:val="16"/>
        </w:rPr>
        <w:footnoteRef/>
      </w:r>
      <w:r w:rsidRPr="006B63C7">
        <w:rPr>
          <w:rFonts w:ascii="Century Schoolbook" w:hAnsi="Century Schoolbook"/>
          <w:sz w:val="16"/>
          <w:szCs w:val="16"/>
        </w:rPr>
        <w:t xml:space="preserve"> Lucius </w:t>
      </w:r>
      <w:proofErr w:type="spellStart"/>
      <w:r w:rsidRPr="006B63C7">
        <w:rPr>
          <w:rFonts w:ascii="Century Schoolbook" w:hAnsi="Century Schoolbook"/>
          <w:sz w:val="16"/>
          <w:szCs w:val="16"/>
        </w:rPr>
        <w:t>Couloute</w:t>
      </w:r>
      <w:proofErr w:type="spellEnd"/>
      <w:r w:rsidRPr="006B63C7">
        <w:rPr>
          <w:rFonts w:ascii="Century Schoolbook" w:hAnsi="Century Schoolbook"/>
          <w:sz w:val="16"/>
          <w:szCs w:val="16"/>
        </w:rPr>
        <w:t xml:space="preserve">, </w:t>
      </w:r>
      <w:r w:rsidRPr="006B63C7">
        <w:rPr>
          <w:rFonts w:ascii="Century Schoolbook" w:hAnsi="Century Schoolbook"/>
          <w:i/>
          <w:sz w:val="16"/>
          <w:szCs w:val="16"/>
        </w:rPr>
        <w:t>Getting Back on Course: Educational Exclusion and Attainment Among Formerly Incarcerated People</w:t>
      </w:r>
      <w:r w:rsidRPr="006B63C7">
        <w:rPr>
          <w:rFonts w:ascii="Century Schoolbook" w:hAnsi="Century Schoolbook"/>
          <w:sz w:val="16"/>
          <w:szCs w:val="16"/>
        </w:rPr>
        <w:t xml:space="preserve">, </w:t>
      </w:r>
      <w:r w:rsidRPr="006B63C7">
        <w:rPr>
          <w:rFonts w:ascii="Century Schoolbook" w:hAnsi="Century Schoolbook" w:cs="Times New Roman (Body CS)"/>
          <w:smallCaps/>
          <w:sz w:val="16"/>
          <w:szCs w:val="16"/>
        </w:rPr>
        <w:t xml:space="preserve">Prison </w:t>
      </w:r>
      <w:proofErr w:type="spellStart"/>
      <w:r w:rsidRPr="006B63C7">
        <w:rPr>
          <w:rFonts w:ascii="Century Schoolbook" w:hAnsi="Century Schoolbook" w:cs="Times New Roman (Body CS)"/>
          <w:smallCaps/>
          <w:sz w:val="16"/>
          <w:szCs w:val="16"/>
        </w:rPr>
        <w:t>Pol’y</w:t>
      </w:r>
      <w:proofErr w:type="spellEnd"/>
      <w:r w:rsidRPr="006B63C7">
        <w:rPr>
          <w:rFonts w:ascii="Century Schoolbook" w:hAnsi="Century Schoolbook" w:cs="Times New Roman (Body CS)"/>
          <w:smallCaps/>
          <w:sz w:val="16"/>
          <w:szCs w:val="16"/>
        </w:rPr>
        <w:t xml:space="preserve"> Initiative</w:t>
      </w:r>
      <w:r w:rsidRPr="006B63C7">
        <w:rPr>
          <w:rFonts w:ascii="Century Schoolbook" w:hAnsi="Century Schoolbook"/>
          <w:sz w:val="16"/>
          <w:szCs w:val="16"/>
        </w:rPr>
        <w:t xml:space="preserve"> (Oct. 2018), </w:t>
      </w:r>
      <w:r w:rsidRPr="006B63C7">
        <w:rPr>
          <w:rFonts w:ascii="Century Schoolbook" w:hAnsi="Century Schoolbook"/>
          <w:i/>
          <w:iCs/>
          <w:sz w:val="16"/>
          <w:szCs w:val="16"/>
        </w:rPr>
        <w:t>available at</w:t>
      </w:r>
      <w:r w:rsidRPr="006B63C7">
        <w:rPr>
          <w:rFonts w:ascii="Century Schoolbook" w:hAnsi="Century Schoolbook"/>
          <w:iCs/>
          <w:sz w:val="16"/>
          <w:szCs w:val="16"/>
        </w:rPr>
        <w:t>:</w:t>
      </w:r>
      <w:r w:rsidRPr="006B63C7">
        <w:rPr>
          <w:rFonts w:ascii="Century Schoolbook" w:hAnsi="Century Schoolbook"/>
          <w:i/>
          <w:iCs/>
          <w:sz w:val="16"/>
          <w:szCs w:val="16"/>
        </w:rPr>
        <w:t xml:space="preserve"> </w:t>
      </w:r>
      <w:hyperlink r:id="rId2" w:history="1">
        <w:r w:rsidRPr="006B63C7">
          <w:rPr>
            <w:rStyle w:val="Hyperlink"/>
            <w:rFonts w:ascii="Century Schoolbook" w:hAnsi="Century Schoolbook"/>
            <w:sz w:val="16"/>
            <w:szCs w:val="16"/>
          </w:rPr>
          <w:t>https://www.prisonpolicy.org/reports/education.html</w:t>
        </w:r>
      </w:hyperlink>
      <w:r w:rsidRPr="006B63C7">
        <w:rPr>
          <w:rFonts w:ascii="Century Schoolbook" w:hAnsi="Century Schoolbook"/>
          <w:sz w:val="16"/>
          <w:szCs w:val="16"/>
        </w:rPr>
        <w:t>.</w:t>
      </w:r>
    </w:p>
  </w:footnote>
  <w:footnote w:id="3">
    <w:p w14:paraId="53F225D5" w14:textId="77777777" w:rsidR="00E24333" w:rsidRPr="006B63C7" w:rsidRDefault="00E24333" w:rsidP="00E24333">
      <w:pPr>
        <w:pStyle w:val="FootnoteText"/>
        <w:rPr>
          <w:rFonts w:ascii="Century Schoolbook" w:hAnsi="Century Schoolbook"/>
          <w:i/>
          <w:iCs/>
          <w:sz w:val="16"/>
          <w:szCs w:val="16"/>
        </w:rPr>
      </w:pPr>
      <w:r w:rsidRPr="006B63C7">
        <w:rPr>
          <w:rStyle w:val="FootnoteReference"/>
          <w:rFonts w:ascii="Century Schoolbook" w:hAnsi="Century Schoolbook"/>
          <w:sz w:val="16"/>
          <w:szCs w:val="16"/>
        </w:rPr>
        <w:footnoteRef/>
      </w:r>
      <w:r w:rsidRPr="006B63C7">
        <w:rPr>
          <w:rFonts w:ascii="Century Schoolbook" w:hAnsi="Century Schoolbook"/>
          <w:sz w:val="16"/>
          <w:szCs w:val="16"/>
        </w:rPr>
        <w:t xml:space="preserve"> </w:t>
      </w:r>
      <w:r w:rsidRPr="006B63C7">
        <w:rPr>
          <w:rFonts w:ascii="Century Schoolbook" w:hAnsi="Century Schoolbook"/>
          <w:i/>
          <w:iCs/>
          <w:sz w:val="16"/>
          <w:szCs w:val="16"/>
        </w:rPr>
        <w:t>Id.</w:t>
      </w:r>
    </w:p>
  </w:footnote>
  <w:footnote w:id="4">
    <w:p w14:paraId="3CA4754B" w14:textId="661FC08D" w:rsidR="00E24333" w:rsidRPr="006B63C7" w:rsidRDefault="00E24333">
      <w:pPr>
        <w:pStyle w:val="FootnoteText"/>
        <w:rPr>
          <w:rFonts w:ascii="Century Schoolbook" w:hAnsi="Century Schoolbook"/>
          <w:sz w:val="16"/>
          <w:szCs w:val="16"/>
        </w:rPr>
      </w:pPr>
      <w:r w:rsidRPr="006B63C7">
        <w:rPr>
          <w:rStyle w:val="FootnoteReference"/>
          <w:rFonts w:ascii="Century Schoolbook" w:hAnsi="Century Schoolbook"/>
          <w:sz w:val="16"/>
          <w:szCs w:val="16"/>
        </w:rPr>
        <w:footnoteRef/>
      </w:r>
      <w:r w:rsidRPr="006B63C7">
        <w:rPr>
          <w:rFonts w:ascii="Century Schoolbook" w:hAnsi="Century Schoolbook"/>
          <w:sz w:val="16"/>
          <w:szCs w:val="16"/>
        </w:rPr>
        <w:t xml:space="preserve"> </w:t>
      </w:r>
      <w:r w:rsidR="006B63C7" w:rsidRPr="006B63C7">
        <w:rPr>
          <w:rFonts w:ascii="Century Schoolbook" w:hAnsi="Century Schoolbook"/>
          <w:sz w:val="16"/>
          <w:szCs w:val="16"/>
        </w:rPr>
        <w:t xml:space="preserve">Lois M. Davis, et al., </w:t>
      </w:r>
      <w:r w:rsidR="006B63C7" w:rsidRPr="006B63C7">
        <w:rPr>
          <w:rFonts w:ascii="Century Schoolbook" w:hAnsi="Century Schoolbook"/>
          <w:i/>
          <w:sz w:val="16"/>
          <w:szCs w:val="16"/>
        </w:rPr>
        <w:t>Evaluating the Effectiveness of Correctional Education: A Meta-Analysis of Programs That Provide Education to Incarcerated Adults</w:t>
      </w:r>
      <w:r w:rsidR="006B63C7" w:rsidRPr="006B63C7">
        <w:rPr>
          <w:rFonts w:ascii="Century Schoolbook" w:hAnsi="Century Schoolbook"/>
          <w:sz w:val="16"/>
          <w:szCs w:val="16"/>
        </w:rPr>
        <w:t xml:space="preserve">, RAND </w:t>
      </w:r>
      <w:r w:rsidR="006B63C7" w:rsidRPr="006B63C7">
        <w:rPr>
          <w:rFonts w:ascii="Century Schoolbook" w:hAnsi="Century Schoolbook" w:cs="Times New Roman (Body CS)"/>
          <w:smallCaps/>
          <w:sz w:val="16"/>
          <w:szCs w:val="16"/>
        </w:rPr>
        <w:t>Corp</w:t>
      </w:r>
      <w:r w:rsidR="006B63C7" w:rsidRPr="006B63C7">
        <w:rPr>
          <w:rFonts w:ascii="Century Schoolbook" w:hAnsi="Century Schoolbook"/>
          <w:sz w:val="16"/>
          <w:szCs w:val="16"/>
        </w:rPr>
        <w:t xml:space="preserve">. (2013), </w:t>
      </w:r>
      <w:hyperlink r:id="rId3" w:history="1">
        <w:r w:rsidR="006B63C7" w:rsidRPr="006B63C7">
          <w:rPr>
            <w:rStyle w:val="Hyperlink"/>
            <w:rFonts w:ascii="Century Schoolbook" w:hAnsi="Century Schoolbook"/>
            <w:sz w:val="16"/>
            <w:szCs w:val="16"/>
          </w:rPr>
          <w:t>https://www.rand.org/pubs/research_reports/RR266.html</w:t>
        </w:r>
      </w:hyperlink>
      <w:r w:rsidR="006B63C7" w:rsidRPr="006B63C7">
        <w:rPr>
          <w:rFonts w:ascii="Century Schoolbook" w:hAnsi="Century Schoolbook"/>
          <w:sz w:val="16"/>
          <w:szCs w:val="16"/>
        </w:rPr>
        <w:t xml:space="preserve">. </w:t>
      </w:r>
    </w:p>
  </w:footnote>
  <w:footnote w:id="5">
    <w:p w14:paraId="18137516" w14:textId="611A27EC" w:rsidR="00431B2F" w:rsidRPr="006B63C7" w:rsidRDefault="00431B2F">
      <w:pPr>
        <w:pStyle w:val="FootnoteText"/>
        <w:rPr>
          <w:rFonts w:ascii="Century Schoolbook" w:hAnsi="Century Schoolbook"/>
          <w:sz w:val="16"/>
          <w:szCs w:val="16"/>
        </w:rPr>
      </w:pPr>
      <w:r w:rsidRPr="006B63C7">
        <w:rPr>
          <w:rStyle w:val="FootnoteReference"/>
          <w:rFonts w:ascii="Century Schoolbook" w:hAnsi="Century Schoolbook"/>
          <w:sz w:val="16"/>
          <w:szCs w:val="16"/>
        </w:rPr>
        <w:footnoteRef/>
      </w:r>
      <w:r w:rsidR="006B63C7" w:rsidRPr="006B63C7">
        <w:rPr>
          <w:rFonts w:ascii="Century Schoolbook" w:hAnsi="Century Schoolbook"/>
          <w:sz w:val="16"/>
          <w:szCs w:val="16"/>
        </w:rPr>
        <w:t xml:space="preserve"> Laura Winterfield, et al., </w:t>
      </w:r>
      <w:r w:rsidR="006B63C7" w:rsidRPr="006B63C7">
        <w:rPr>
          <w:rFonts w:ascii="Century Schoolbook" w:hAnsi="Century Schoolbook"/>
          <w:i/>
          <w:sz w:val="16"/>
          <w:szCs w:val="16"/>
        </w:rPr>
        <w:t>The Effects of Postsecondary Correctional Education</w:t>
      </w:r>
      <w:r w:rsidR="006B63C7" w:rsidRPr="006B63C7">
        <w:rPr>
          <w:rFonts w:ascii="Century Schoolbook" w:hAnsi="Century Schoolbook"/>
          <w:sz w:val="16"/>
          <w:szCs w:val="16"/>
        </w:rPr>
        <w:t xml:space="preserve">, </w:t>
      </w:r>
      <w:r w:rsidR="006B63C7" w:rsidRPr="006B63C7">
        <w:rPr>
          <w:rFonts w:ascii="Century Schoolbook" w:hAnsi="Century Schoolbook" w:cs="Times New Roman (Body CS)"/>
          <w:smallCaps/>
          <w:sz w:val="16"/>
          <w:szCs w:val="16"/>
        </w:rPr>
        <w:t>Urban Inst</w:t>
      </w:r>
      <w:r w:rsidR="006B63C7" w:rsidRPr="006B63C7">
        <w:rPr>
          <w:rFonts w:ascii="Century Schoolbook" w:hAnsi="Century Schoolbook"/>
          <w:sz w:val="16"/>
          <w:szCs w:val="16"/>
        </w:rPr>
        <w:t>. (May 2009),</w:t>
      </w:r>
      <w:r w:rsidRPr="006B63C7">
        <w:rPr>
          <w:rFonts w:ascii="Century Schoolbook" w:hAnsi="Century Schoolbook"/>
          <w:sz w:val="16"/>
          <w:szCs w:val="16"/>
        </w:rPr>
        <w:t xml:space="preserve"> </w:t>
      </w:r>
      <w:hyperlink r:id="rId4" w:history="1">
        <w:r w:rsidRPr="006B63C7">
          <w:rPr>
            <w:rStyle w:val="Hyperlink"/>
            <w:rFonts w:ascii="Century Schoolbook" w:hAnsi="Century Schoolbook"/>
            <w:sz w:val="16"/>
            <w:szCs w:val="16"/>
          </w:rPr>
          <w:t>https://www.</w:t>
        </w:r>
        <w:r w:rsidRPr="006B63C7">
          <w:rPr>
            <w:rStyle w:val="Hyperlink"/>
            <w:rFonts w:ascii="Century Schoolbook" w:hAnsi="Century Schoolbook"/>
            <w:sz w:val="16"/>
            <w:szCs w:val="16"/>
          </w:rPr>
          <w:t>u</w:t>
        </w:r>
        <w:r w:rsidRPr="006B63C7">
          <w:rPr>
            <w:rStyle w:val="Hyperlink"/>
            <w:rFonts w:ascii="Century Schoolbook" w:hAnsi="Century Schoolbook"/>
            <w:sz w:val="16"/>
            <w:szCs w:val="16"/>
          </w:rPr>
          <w:t>rban.org/sites/default/files/publication/30626/411954-The-Effects-of-Postsecondary-Correctional-Education.PDF</w:t>
        </w:r>
      </w:hyperlink>
      <w:r w:rsidR="006B63C7" w:rsidRPr="006B63C7">
        <w:rPr>
          <w:rFonts w:ascii="Century Schoolbook" w:hAnsi="Century Schoolbook"/>
          <w:sz w:val="16"/>
          <w:szCs w:val="16"/>
        </w:rPr>
        <w:t>.</w:t>
      </w:r>
    </w:p>
  </w:footnote>
  <w:footnote w:id="6">
    <w:p w14:paraId="062FFAC6" w14:textId="52F374D5" w:rsidR="00431B2F" w:rsidRPr="006B63C7" w:rsidRDefault="00431B2F">
      <w:pPr>
        <w:pStyle w:val="FootnoteText"/>
        <w:rPr>
          <w:rFonts w:ascii="Century Schoolbook" w:hAnsi="Century Schoolbook"/>
          <w:i/>
          <w:sz w:val="16"/>
          <w:szCs w:val="16"/>
        </w:rPr>
      </w:pPr>
      <w:r w:rsidRPr="006B63C7">
        <w:rPr>
          <w:rStyle w:val="FootnoteReference"/>
          <w:rFonts w:ascii="Century Schoolbook" w:hAnsi="Century Schoolbook"/>
          <w:sz w:val="16"/>
          <w:szCs w:val="16"/>
        </w:rPr>
        <w:footnoteRef/>
      </w:r>
      <w:r w:rsidR="006B63C7" w:rsidRPr="006B63C7">
        <w:rPr>
          <w:rFonts w:ascii="Century Schoolbook" w:hAnsi="Century Schoolbook"/>
          <w:sz w:val="16"/>
          <w:szCs w:val="16"/>
        </w:rPr>
        <w:t xml:space="preserve"> </w:t>
      </w:r>
      <w:r w:rsidR="006B63C7" w:rsidRPr="006B63C7">
        <w:rPr>
          <w:rFonts w:ascii="Century Schoolbook" w:hAnsi="Century Schoolbook"/>
          <w:i/>
          <w:sz w:val="16"/>
          <w:szCs w:val="16"/>
        </w:rPr>
        <w:t>Id.</w:t>
      </w:r>
    </w:p>
  </w:footnote>
  <w:footnote w:id="7">
    <w:p w14:paraId="0D9EB57F" w14:textId="35F0A70D" w:rsidR="00452DFC" w:rsidRPr="006B63C7" w:rsidRDefault="00452DFC">
      <w:pPr>
        <w:pStyle w:val="FootnoteText"/>
        <w:rPr>
          <w:rFonts w:ascii="Century Schoolbook" w:hAnsi="Century Schoolbook"/>
          <w:i/>
          <w:sz w:val="16"/>
          <w:szCs w:val="16"/>
        </w:rPr>
      </w:pPr>
      <w:r w:rsidRPr="006B63C7">
        <w:rPr>
          <w:rStyle w:val="FootnoteReference"/>
          <w:rFonts w:ascii="Century Schoolbook" w:hAnsi="Century Schoolbook"/>
          <w:sz w:val="16"/>
          <w:szCs w:val="16"/>
        </w:rPr>
        <w:footnoteRef/>
      </w:r>
      <w:r w:rsidRPr="006B63C7">
        <w:rPr>
          <w:rFonts w:ascii="Century Schoolbook" w:hAnsi="Century Schoolbook"/>
          <w:sz w:val="16"/>
          <w:szCs w:val="16"/>
        </w:rPr>
        <w:t xml:space="preserve"> </w:t>
      </w:r>
      <w:r w:rsidRPr="006B63C7">
        <w:rPr>
          <w:rFonts w:ascii="Century Schoolbook" w:hAnsi="Century Schoolbook"/>
          <w:i/>
          <w:sz w:val="16"/>
          <w:szCs w:val="16"/>
        </w:rPr>
        <w:t>Id.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0E"/>
    <w:rsid w:val="00025786"/>
    <w:rsid w:val="000A10F0"/>
    <w:rsid w:val="00184D80"/>
    <w:rsid w:val="001D7455"/>
    <w:rsid w:val="002F2775"/>
    <w:rsid w:val="00384766"/>
    <w:rsid w:val="003F7664"/>
    <w:rsid w:val="00431B2F"/>
    <w:rsid w:val="00452DFC"/>
    <w:rsid w:val="004C19E6"/>
    <w:rsid w:val="004E2FAD"/>
    <w:rsid w:val="005225AA"/>
    <w:rsid w:val="006279DA"/>
    <w:rsid w:val="006B63C7"/>
    <w:rsid w:val="006D46BE"/>
    <w:rsid w:val="00740843"/>
    <w:rsid w:val="0089134D"/>
    <w:rsid w:val="00B73992"/>
    <w:rsid w:val="00B75D0E"/>
    <w:rsid w:val="00C179BF"/>
    <w:rsid w:val="00C43F11"/>
    <w:rsid w:val="00CF26B8"/>
    <w:rsid w:val="00D36020"/>
    <w:rsid w:val="00E24333"/>
    <w:rsid w:val="00EB1CFD"/>
    <w:rsid w:val="00ED23AB"/>
    <w:rsid w:val="00F769A6"/>
    <w:rsid w:val="00FA41F4"/>
    <w:rsid w:val="00FE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A3B47D"/>
  <w14:defaultImageDpi w14:val="32767"/>
  <w15:chartTrackingRefBased/>
  <w15:docId w15:val="{0418A383-571A-9947-87DC-10B575EB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Theme="minorHAnsi" w:hAnsi="Century Schoolbook" w:cs="Arial"/>
        <w:sz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5D0E"/>
    <w:rPr>
      <w:rFonts w:asciiTheme="minorHAnsi" w:hAnsiTheme="minorHAnsi" w:cstheme="min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D0E"/>
    <w:rPr>
      <w:color w:val="0563C1" w:themeColor="hyperlink"/>
      <w:u w:val="single"/>
    </w:rPr>
  </w:style>
  <w:style w:type="paragraph" w:styleId="FootnoteText">
    <w:name w:val="footnote text"/>
    <w:basedOn w:val="Normal"/>
    <w:link w:val="FootnoteTextChar"/>
    <w:uiPriority w:val="99"/>
    <w:semiHidden/>
    <w:unhideWhenUsed/>
    <w:rsid w:val="00E24333"/>
    <w:rPr>
      <w:sz w:val="20"/>
      <w:szCs w:val="20"/>
    </w:rPr>
  </w:style>
  <w:style w:type="character" w:customStyle="1" w:styleId="FootnoteTextChar">
    <w:name w:val="Footnote Text Char"/>
    <w:basedOn w:val="DefaultParagraphFont"/>
    <w:link w:val="FootnoteText"/>
    <w:uiPriority w:val="99"/>
    <w:semiHidden/>
    <w:rsid w:val="00E24333"/>
    <w:rPr>
      <w:rFonts w:asciiTheme="minorHAnsi" w:hAnsiTheme="minorHAnsi" w:cstheme="minorBidi"/>
      <w:sz w:val="20"/>
    </w:rPr>
  </w:style>
  <w:style w:type="character" w:styleId="FootnoteReference">
    <w:name w:val="footnote reference"/>
    <w:basedOn w:val="DefaultParagraphFont"/>
    <w:uiPriority w:val="99"/>
    <w:semiHidden/>
    <w:unhideWhenUsed/>
    <w:rsid w:val="00E24333"/>
    <w:rPr>
      <w:vertAlign w:val="superscript"/>
    </w:rPr>
  </w:style>
  <w:style w:type="character" w:styleId="UnresolvedMention">
    <w:name w:val="Unresolved Mention"/>
    <w:basedOn w:val="DefaultParagraphFont"/>
    <w:uiPriority w:val="99"/>
    <w:rsid w:val="00431B2F"/>
    <w:rPr>
      <w:color w:val="605E5C"/>
      <w:shd w:val="clear" w:color="auto" w:fill="E1DFDD"/>
    </w:rPr>
  </w:style>
  <w:style w:type="character" w:styleId="FollowedHyperlink">
    <w:name w:val="FollowedHyperlink"/>
    <w:basedOn w:val="DefaultParagraphFont"/>
    <w:uiPriority w:val="99"/>
    <w:semiHidden/>
    <w:unhideWhenUsed/>
    <w:rsid w:val="006B63C7"/>
    <w:rPr>
      <w:color w:val="954F72" w:themeColor="followedHyperlink"/>
      <w:u w:val="single"/>
    </w:rPr>
  </w:style>
  <w:style w:type="paragraph" w:styleId="Footer">
    <w:name w:val="footer"/>
    <w:basedOn w:val="Normal"/>
    <w:link w:val="FooterChar"/>
    <w:uiPriority w:val="99"/>
    <w:unhideWhenUsed/>
    <w:rsid w:val="006B63C7"/>
    <w:pPr>
      <w:tabs>
        <w:tab w:val="center" w:pos="4680"/>
        <w:tab w:val="right" w:pos="9360"/>
      </w:tabs>
    </w:pPr>
  </w:style>
  <w:style w:type="character" w:customStyle="1" w:styleId="FooterChar">
    <w:name w:val="Footer Char"/>
    <w:basedOn w:val="DefaultParagraphFont"/>
    <w:link w:val="Footer"/>
    <w:uiPriority w:val="99"/>
    <w:rsid w:val="006B63C7"/>
    <w:rPr>
      <w:rFonts w:asciiTheme="minorHAnsi" w:hAnsiTheme="minorHAnsi" w:cstheme="minorBidi"/>
      <w:szCs w:val="24"/>
    </w:rPr>
  </w:style>
  <w:style w:type="character" w:styleId="PageNumber">
    <w:name w:val="page number"/>
    <w:basedOn w:val="DefaultParagraphFont"/>
    <w:uiPriority w:val="99"/>
    <w:semiHidden/>
    <w:unhideWhenUsed/>
    <w:rsid w:val="006B63C7"/>
  </w:style>
  <w:style w:type="paragraph" w:styleId="Header">
    <w:name w:val="header"/>
    <w:basedOn w:val="Normal"/>
    <w:link w:val="HeaderChar"/>
    <w:uiPriority w:val="99"/>
    <w:unhideWhenUsed/>
    <w:rsid w:val="006B63C7"/>
    <w:pPr>
      <w:tabs>
        <w:tab w:val="center" w:pos="4680"/>
        <w:tab w:val="right" w:pos="9360"/>
      </w:tabs>
    </w:pPr>
  </w:style>
  <w:style w:type="character" w:customStyle="1" w:styleId="HeaderChar">
    <w:name w:val="Header Char"/>
    <w:basedOn w:val="DefaultParagraphFont"/>
    <w:link w:val="Header"/>
    <w:uiPriority w:val="99"/>
    <w:rsid w:val="006B63C7"/>
    <w:rPr>
      <w:rFonts w:asciiTheme="minorHAnsi"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and.org/pubs/research_reports/RR266.html" TargetMode="External"/><Relationship Id="rId2" Type="http://schemas.openxmlformats.org/officeDocument/2006/relationships/hyperlink" Target="https://www.prisonpolicy.org/reports/education.html" TargetMode="External"/><Relationship Id="rId1" Type="http://schemas.openxmlformats.org/officeDocument/2006/relationships/hyperlink" Target="https://www.insidehighered.com/views/2020/03/18/new-study-illuminates-why-barriers-higher-education-incarcerated-people-confront" TargetMode="External"/><Relationship Id="rId4" Type="http://schemas.openxmlformats.org/officeDocument/2006/relationships/hyperlink" Target="https://www.urban.org/sites/default/files/publication/30626/411954-The-Effects-of-Postsecondary-Correctional-Edu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Zaccagnino</dc:creator>
  <cp:keywords/>
  <dc:description/>
  <cp:lastModifiedBy>Jess Zaccagnino</cp:lastModifiedBy>
  <cp:revision>2</cp:revision>
  <dcterms:created xsi:type="dcterms:W3CDTF">2024-02-14T18:59:00Z</dcterms:created>
  <dcterms:modified xsi:type="dcterms:W3CDTF">2024-02-14T18:59:00Z</dcterms:modified>
</cp:coreProperties>
</file>